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38AC" w14:textId="77777777" w:rsidR="000F095C" w:rsidRDefault="000F095C" w:rsidP="00725DF5">
      <w:pPr>
        <w:ind w:left="60"/>
        <w:jc w:val="both"/>
        <w:rPr>
          <w:b/>
          <w:lang w:val="en-US"/>
        </w:rPr>
      </w:pPr>
    </w:p>
    <w:p w14:paraId="0B255FB8" w14:textId="63389DDC" w:rsidR="00725DF5" w:rsidRPr="00D3252E" w:rsidRDefault="00B275E5" w:rsidP="00725DF5">
      <w:pPr>
        <w:ind w:left="60"/>
        <w:jc w:val="both"/>
        <w:rPr>
          <w:b/>
          <w:lang w:val="en-US"/>
        </w:rPr>
      </w:pPr>
      <w:r>
        <w:rPr>
          <w:b/>
          <w:lang w:val="en-US"/>
        </w:rPr>
        <w:t xml:space="preserve">Appendix 1 - </w:t>
      </w:r>
      <w:r w:rsidR="00725DF5">
        <w:rPr>
          <w:b/>
          <w:lang w:val="en-US"/>
        </w:rPr>
        <w:t>Draf</w:t>
      </w:r>
      <w:r w:rsidR="00825CEE">
        <w:rPr>
          <w:b/>
          <w:lang w:val="en-US"/>
        </w:rPr>
        <w:t>t Corporate Anti-Fraud Plan 202</w:t>
      </w:r>
      <w:r w:rsidR="002D3329">
        <w:rPr>
          <w:b/>
          <w:lang w:val="en-US"/>
        </w:rPr>
        <w:t>3</w:t>
      </w:r>
      <w:r w:rsidR="00F53892">
        <w:rPr>
          <w:b/>
          <w:lang w:val="en-US"/>
        </w:rPr>
        <w:t>/2</w:t>
      </w:r>
      <w:r w:rsidR="002D3329">
        <w:rPr>
          <w:b/>
          <w:lang w:val="en-US"/>
        </w:rPr>
        <w:t>4</w:t>
      </w:r>
    </w:p>
    <w:p w14:paraId="33D5CA25" w14:textId="77777777" w:rsidR="00725DF5" w:rsidRDefault="00725DF5" w:rsidP="00725DF5">
      <w:pPr>
        <w:jc w:val="center"/>
        <w:rPr>
          <w:b/>
        </w:rPr>
      </w:pPr>
    </w:p>
    <w:p w14:paraId="2BB8BF0A" w14:textId="77777777" w:rsidR="00725DF5" w:rsidRDefault="00725DF5" w:rsidP="00725DF5">
      <w:pPr>
        <w:jc w:val="center"/>
        <w:rPr>
          <w:b/>
        </w:rPr>
      </w:pPr>
    </w:p>
    <w:tbl>
      <w:tblPr>
        <w:tblW w:w="13642" w:type="dxa"/>
        <w:tblInd w:w="103" w:type="dxa"/>
        <w:tblLook w:val="0000" w:firstRow="0" w:lastRow="0" w:firstColumn="0" w:lastColumn="0" w:noHBand="0" w:noVBand="0"/>
      </w:tblPr>
      <w:tblGrid>
        <w:gridCol w:w="495"/>
        <w:gridCol w:w="4075"/>
        <w:gridCol w:w="9072"/>
      </w:tblGrid>
      <w:tr w:rsidR="00D651F0" w:rsidRPr="00380629" w14:paraId="546107DB" w14:textId="77777777" w:rsidTr="002107B8">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002060"/>
          </w:tcPr>
          <w:p w14:paraId="6985B50D" w14:textId="77777777" w:rsidR="00D651F0" w:rsidRDefault="00D651F0" w:rsidP="00F964DC">
            <w:pPr>
              <w:rPr>
                <w:b/>
                <w:bCs/>
                <w:sz w:val="20"/>
                <w:szCs w:val="20"/>
                <w:lang w:val="en-US"/>
              </w:rPr>
            </w:pPr>
          </w:p>
        </w:tc>
        <w:tc>
          <w:tcPr>
            <w:tcW w:w="4075"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497FAC6F" w14:textId="77777777" w:rsidR="00D651F0" w:rsidRDefault="00D651F0" w:rsidP="00F964DC">
            <w:pPr>
              <w:rPr>
                <w:b/>
                <w:bCs/>
                <w:sz w:val="20"/>
                <w:szCs w:val="20"/>
                <w:lang w:val="en-US"/>
              </w:rPr>
            </w:pPr>
            <w:r>
              <w:rPr>
                <w:b/>
                <w:bCs/>
                <w:sz w:val="20"/>
                <w:szCs w:val="20"/>
                <w:lang w:val="en-US"/>
              </w:rPr>
              <w:t>Fraud work stream</w:t>
            </w:r>
          </w:p>
          <w:p w14:paraId="4206E9B4" w14:textId="77777777" w:rsidR="00D651F0" w:rsidRPr="00380629" w:rsidRDefault="00D651F0" w:rsidP="00F964DC">
            <w:pPr>
              <w:rPr>
                <w:b/>
                <w:bCs/>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002060"/>
            <w:vAlign w:val="bottom"/>
          </w:tcPr>
          <w:p w14:paraId="18466D4A" w14:textId="77777777" w:rsidR="00D651F0" w:rsidRDefault="00D651F0" w:rsidP="00F964DC">
            <w:pPr>
              <w:rPr>
                <w:b/>
                <w:bCs/>
                <w:sz w:val="20"/>
                <w:szCs w:val="20"/>
                <w:lang w:val="en-US"/>
              </w:rPr>
            </w:pPr>
          </w:p>
          <w:p w14:paraId="60DB70C5" w14:textId="16D2EDB0" w:rsidR="00D651F0" w:rsidRDefault="00D651F0" w:rsidP="00F964DC">
            <w:pPr>
              <w:rPr>
                <w:b/>
                <w:bCs/>
                <w:sz w:val="20"/>
                <w:szCs w:val="20"/>
                <w:lang w:val="en-US"/>
              </w:rPr>
            </w:pPr>
            <w:r>
              <w:rPr>
                <w:b/>
                <w:bCs/>
                <w:sz w:val="20"/>
                <w:szCs w:val="20"/>
                <w:lang w:val="en-US"/>
              </w:rPr>
              <w:t>Proposed counter fraud coverage</w:t>
            </w:r>
          </w:p>
          <w:p w14:paraId="5D821AF1" w14:textId="77777777" w:rsidR="00D651F0" w:rsidRPr="00380629" w:rsidRDefault="00D651F0" w:rsidP="00F964DC">
            <w:pPr>
              <w:rPr>
                <w:b/>
                <w:bCs/>
                <w:sz w:val="20"/>
                <w:szCs w:val="20"/>
                <w:lang w:val="en-US"/>
              </w:rPr>
            </w:pPr>
          </w:p>
        </w:tc>
      </w:tr>
      <w:tr w:rsidR="00D651F0" w:rsidRPr="0075312F" w14:paraId="71973559"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3E3EDF70" w14:textId="2765AF45" w:rsidR="00D651F0" w:rsidRDefault="00D651F0" w:rsidP="00F964DC">
            <w:pPr>
              <w:rPr>
                <w:sz w:val="20"/>
                <w:szCs w:val="20"/>
                <w:lang w:val="en-US"/>
              </w:rPr>
            </w:pPr>
            <w:r>
              <w:rPr>
                <w:sz w:val="20"/>
                <w:szCs w:val="20"/>
                <w:lang w:val="en-US"/>
              </w:rPr>
              <w:t>1</w:t>
            </w:r>
            <w:r w:rsidR="00D3180A">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D0EB03F" w14:textId="77777777" w:rsidR="00D651F0" w:rsidRPr="00502F8C" w:rsidRDefault="00D651F0" w:rsidP="00F964DC">
            <w:pPr>
              <w:rPr>
                <w:sz w:val="20"/>
                <w:szCs w:val="20"/>
                <w:lang w:val="en-US"/>
              </w:rPr>
            </w:pPr>
            <w:r w:rsidRPr="00502F8C">
              <w:rPr>
                <w:sz w:val="20"/>
                <w:szCs w:val="20"/>
                <w:lang w:val="en-US"/>
              </w:rPr>
              <w:t>Corporate fraud risk assessment</w:t>
            </w:r>
          </w:p>
        </w:tc>
        <w:tc>
          <w:tcPr>
            <w:tcW w:w="9072" w:type="dxa"/>
            <w:tcBorders>
              <w:top w:val="single" w:sz="4" w:space="0" w:color="auto"/>
              <w:left w:val="nil"/>
              <w:bottom w:val="single" w:sz="4" w:space="0" w:color="auto"/>
              <w:right w:val="single" w:sz="4" w:space="0" w:color="auto"/>
            </w:tcBorders>
            <w:shd w:val="clear" w:color="auto" w:fill="auto"/>
          </w:tcPr>
          <w:p w14:paraId="65ACFBBE" w14:textId="67C73FC2" w:rsidR="00D651F0" w:rsidRDefault="00D651F0" w:rsidP="00C100AE">
            <w:pPr>
              <w:rPr>
                <w:sz w:val="20"/>
                <w:szCs w:val="20"/>
                <w:lang w:val="en-US"/>
              </w:rPr>
            </w:pPr>
            <w:r w:rsidRPr="00502F8C">
              <w:rPr>
                <w:sz w:val="20"/>
                <w:szCs w:val="20"/>
                <w:lang w:val="en-US"/>
              </w:rPr>
              <w:t>Identify and assess Harrow’s fraud risk exposure affecting the principle activities in order to fully understand changing patterns in fraud and corruption threats and the potential harmful consequences to the authority and our customers</w:t>
            </w:r>
            <w:r w:rsidR="009A6D5F">
              <w:rPr>
                <w:sz w:val="20"/>
                <w:szCs w:val="20"/>
                <w:lang w:val="en-US"/>
              </w:rPr>
              <w:t>.</w:t>
            </w:r>
            <w:r w:rsidR="004A6C8D">
              <w:rPr>
                <w:sz w:val="20"/>
                <w:szCs w:val="20"/>
                <w:lang w:val="en-US"/>
              </w:rPr>
              <w:t xml:space="preserve">  A new methodology was deployed in 202</w:t>
            </w:r>
            <w:r w:rsidR="002D3329">
              <w:rPr>
                <w:sz w:val="20"/>
                <w:szCs w:val="20"/>
                <w:lang w:val="en-US"/>
              </w:rPr>
              <w:t>2</w:t>
            </w:r>
            <w:r w:rsidR="004A6C8D">
              <w:rPr>
                <w:sz w:val="20"/>
                <w:szCs w:val="20"/>
                <w:lang w:val="en-US"/>
              </w:rPr>
              <w:t>/2</w:t>
            </w:r>
            <w:r w:rsidR="002D3329">
              <w:rPr>
                <w:sz w:val="20"/>
                <w:szCs w:val="20"/>
                <w:lang w:val="en-US"/>
              </w:rPr>
              <w:t>3</w:t>
            </w:r>
            <w:r w:rsidR="004A6C8D">
              <w:rPr>
                <w:sz w:val="20"/>
                <w:szCs w:val="20"/>
                <w:lang w:val="en-US"/>
              </w:rPr>
              <w:t xml:space="preserve"> which will be reviewed at the end of the year to assess </w:t>
            </w:r>
            <w:r w:rsidR="004437B4">
              <w:rPr>
                <w:sz w:val="20"/>
                <w:szCs w:val="20"/>
                <w:lang w:val="en-US"/>
              </w:rPr>
              <w:t>it</w:t>
            </w:r>
            <w:r w:rsidR="00CC5CBE">
              <w:rPr>
                <w:sz w:val="20"/>
                <w:szCs w:val="20"/>
                <w:lang w:val="en-US"/>
              </w:rPr>
              <w:t>’</w:t>
            </w:r>
            <w:r w:rsidR="004437B4">
              <w:rPr>
                <w:sz w:val="20"/>
                <w:szCs w:val="20"/>
                <w:lang w:val="en-US"/>
              </w:rPr>
              <w:t>s accuracy</w:t>
            </w:r>
            <w:r w:rsidR="004A6C8D">
              <w:rPr>
                <w:sz w:val="20"/>
                <w:szCs w:val="20"/>
                <w:lang w:val="en-US"/>
              </w:rPr>
              <w:t xml:space="preserve">. </w:t>
            </w:r>
            <w:r w:rsidR="009A6D5F">
              <w:rPr>
                <w:sz w:val="20"/>
                <w:szCs w:val="20"/>
                <w:lang w:val="en-US"/>
              </w:rPr>
              <w:t xml:space="preserve">  </w:t>
            </w:r>
          </w:p>
          <w:p w14:paraId="76B6FFB3" w14:textId="03657102" w:rsidR="00C100AE" w:rsidRPr="00502F8C" w:rsidRDefault="00C100AE" w:rsidP="00C100AE">
            <w:pPr>
              <w:rPr>
                <w:sz w:val="20"/>
                <w:szCs w:val="20"/>
                <w:lang w:val="en-US"/>
              </w:rPr>
            </w:pPr>
          </w:p>
        </w:tc>
      </w:tr>
      <w:tr w:rsidR="00D651F0" w:rsidRPr="0075312F" w14:paraId="269C4434"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74BC8BDB" w14:textId="69B6BD40" w:rsidR="00D651F0" w:rsidRDefault="003600EA" w:rsidP="00F964DC">
            <w:pPr>
              <w:rPr>
                <w:sz w:val="20"/>
                <w:szCs w:val="20"/>
                <w:lang w:val="en-US"/>
              </w:rPr>
            </w:pPr>
            <w:r>
              <w:rPr>
                <w:sz w:val="20"/>
                <w:szCs w:val="20"/>
                <w:lang w:val="en-US"/>
              </w:rPr>
              <w:t>2</w:t>
            </w:r>
            <w:r w:rsidR="00D3180A">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29041E1" w14:textId="77777777" w:rsidR="00D651F0" w:rsidRDefault="00D651F0" w:rsidP="00F964DC">
            <w:pPr>
              <w:rPr>
                <w:sz w:val="20"/>
                <w:szCs w:val="20"/>
                <w:lang w:val="en-US"/>
              </w:rPr>
            </w:pPr>
            <w:r w:rsidRPr="00502F8C">
              <w:rPr>
                <w:sz w:val="20"/>
                <w:szCs w:val="20"/>
                <w:lang w:val="en-US"/>
              </w:rPr>
              <w:t>Corporate Anti-Fraud &amp; Corruption Strategy</w:t>
            </w:r>
            <w:r w:rsidR="001322D5">
              <w:rPr>
                <w:sz w:val="20"/>
                <w:szCs w:val="20"/>
                <w:lang w:val="en-US"/>
              </w:rPr>
              <w:t xml:space="preserve"> 2022-26</w:t>
            </w:r>
          </w:p>
          <w:p w14:paraId="004E4DD8" w14:textId="608C5470" w:rsidR="001322D5" w:rsidRPr="00502F8C" w:rsidRDefault="001322D5" w:rsidP="00F964DC">
            <w:pPr>
              <w:rPr>
                <w:sz w:val="20"/>
                <w:szCs w:val="20"/>
                <w:lang w:val="en-US"/>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AE5FDE3" w14:textId="6276681E" w:rsidR="00D651F0" w:rsidRPr="00D62D75" w:rsidRDefault="00A10445" w:rsidP="00F964DC">
            <w:pPr>
              <w:rPr>
                <w:strike/>
                <w:sz w:val="20"/>
                <w:szCs w:val="20"/>
                <w:lang w:val="en-US"/>
              </w:rPr>
            </w:pPr>
            <w:r>
              <w:rPr>
                <w:sz w:val="20"/>
                <w:szCs w:val="20"/>
                <w:lang w:val="en-US"/>
              </w:rPr>
              <w:t>Co</w:t>
            </w:r>
            <w:r w:rsidR="004437B4">
              <w:rPr>
                <w:sz w:val="20"/>
                <w:szCs w:val="20"/>
                <w:lang w:val="en-US"/>
              </w:rPr>
              <w:t xml:space="preserve">mplete </w:t>
            </w:r>
            <w:r w:rsidR="00612157">
              <w:rPr>
                <w:sz w:val="20"/>
                <w:szCs w:val="20"/>
                <w:lang w:val="en-US"/>
              </w:rPr>
              <w:t xml:space="preserve">the </w:t>
            </w:r>
            <w:r w:rsidR="00D651F0" w:rsidRPr="00502F8C">
              <w:rPr>
                <w:sz w:val="20"/>
                <w:szCs w:val="20"/>
                <w:lang w:val="en-US"/>
              </w:rPr>
              <w:t>Corporate Anti</w:t>
            </w:r>
            <w:r w:rsidR="005828B0" w:rsidRPr="00502F8C">
              <w:rPr>
                <w:sz w:val="20"/>
                <w:szCs w:val="20"/>
                <w:lang w:val="en-US"/>
              </w:rPr>
              <w:t>-</w:t>
            </w:r>
            <w:r w:rsidR="00D651F0" w:rsidRPr="00502F8C">
              <w:rPr>
                <w:sz w:val="20"/>
                <w:szCs w:val="20"/>
                <w:lang w:val="en-US"/>
              </w:rPr>
              <w:t>Fraud &amp; Corruption Strategy</w:t>
            </w:r>
            <w:r w:rsidR="00824DA8">
              <w:rPr>
                <w:sz w:val="20"/>
                <w:szCs w:val="20"/>
                <w:lang w:val="en-US"/>
              </w:rPr>
              <w:t xml:space="preserve"> </w:t>
            </w:r>
            <w:r w:rsidR="00EB7F28">
              <w:rPr>
                <w:sz w:val="20"/>
                <w:szCs w:val="20"/>
                <w:lang w:val="en-US"/>
              </w:rPr>
              <w:t>202</w:t>
            </w:r>
            <w:r w:rsidR="00847008">
              <w:rPr>
                <w:sz w:val="20"/>
                <w:szCs w:val="20"/>
                <w:lang w:val="en-US"/>
              </w:rPr>
              <w:t>2</w:t>
            </w:r>
            <w:r w:rsidR="00EB7F28">
              <w:rPr>
                <w:sz w:val="20"/>
                <w:szCs w:val="20"/>
                <w:lang w:val="en-US"/>
              </w:rPr>
              <w:t>-2</w:t>
            </w:r>
            <w:r w:rsidR="00847008">
              <w:rPr>
                <w:sz w:val="20"/>
                <w:szCs w:val="20"/>
                <w:lang w:val="en-US"/>
              </w:rPr>
              <w:t>6</w:t>
            </w:r>
            <w:r w:rsidR="00EB7F28">
              <w:rPr>
                <w:sz w:val="20"/>
                <w:szCs w:val="20"/>
                <w:lang w:val="en-US"/>
              </w:rPr>
              <w:t xml:space="preserve"> </w:t>
            </w:r>
            <w:r w:rsidR="00824DA8">
              <w:rPr>
                <w:sz w:val="20"/>
                <w:szCs w:val="20"/>
                <w:lang w:val="en-US"/>
              </w:rPr>
              <w:t>and</w:t>
            </w:r>
            <w:r w:rsidR="001322D5">
              <w:rPr>
                <w:sz w:val="20"/>
                <w:szCs w:val="20"/>
                <w:lang w:val="en-US"/>
              </w:rPr>
              <w:t xml:space="preserve"> ensure</w:t>
            </w:r>
            <w:r w:rsidR="00570A10">
              <w:rPr>
                <w:sz w:val="20"/>
                <w:szCs w:val="20"/>
                <w:lang w:val="en-US"/>
              </w:rPr>
              <w:t xml:space="preserve"> that it</w:t>
            </w:r>
            <w:r w:rsidR="00CB06C2">
              <w:rPr>
                <w:sz w:val="20"/>
                <w:szCs w:val="20"/>
                <w:lang w:val="en-US"/>
              </w:rPr>
              <w:t xml:space="preserve"> is </w:t>
            </w:r>
            <w:r w:rsidR="00570A10">
              <w:rPr>
                <w:sz w:val="20"/>
                <w:szCs w:val="20"/>
                <w:lang w:val="en-US"/>
              </w:rPr>
              <w:t>communicated internally</w:t>
            </w:r>
            <w:r w:rsidR="00E338FE">
              <w:rPr>
                <w:sz w:val="20"/>
                <w:szCs w:val="20"/>
                <w:lang w:val="en-US"/>
              </w:rPr>
              <w:t xml:space="preserve"> to raise awareness</w:t>
            </w:r>
            <w:r w:rsidR="00CB06C2">
              <w:rPr>
                <w:sz w:val="20"/>
                <w:szCs w:val="20"/>
                <w:lang w:val="en-US"/>
              </w:rPr>
              <w:t xml:space="preserve"> </w:t>
            </w:r>
            <w:r w:rsidR="00106BE1">
              <w:rPr>
                <w:sz w:val="20"/>
                <w:szCs w:val="20"/>
                <w:lang w:val="en-US"/>
              </w:rPr>
              <w:t>of fraud</w:t>
            </w:r>
            <w:r w:rsidR="00570A10">
              <w:rPr>
                <w:sz w:val="20"/>
                <w:szCs w:val="20"/>
                <w:lang w:val="en-US"/>
              </w:rPr>
              <w:t xml:space="preserve"> </w:t>
            </w:r>
            <w:r w:rsidR="004437B4">
              <w:rPr>
                <w:sz w:val="20"/>
                <w:szCs w:val="20"/>
                <w:lang w:val="en-US"/>
              </w:rPr>
              <w:t xml:space="preserve"> </w:t>
            </w:r>
            <w:r w:rsidR="001322D5">
              <w:rPr>
                <w:sz w:val="20"/>
                <w:szCs w:val="20"/>
                <w:lang w:val="en-US"/>
              </w:rPr>
              <w:t xml:space="preserve"> </w:t>
            </w:r>
            <w:r w:rsidR="004C441F">
              <w:rPr>
                <w:sz w:val="20"/>
                <w:szCs w:val="20"/>
                <w:lang w:val="en-US"/>
              </w:rPr>
              <w:t xml:space="preserve"> </w:t>
            </w:r>
            <w:r w:rsidR="00824DA8">
              <w:rPr>
                <w:sz w:val="20"/>
                <w:szCs w:val="20"/>
                <w:lang w:val="en-US"/>
              </w:rPr>
              <w:t xml:space="preserve"> </w:t>
            </w:r>
            <w:r w:rsidR="0028286F" w:rsidRPr="00D62D75">
              <w:rPr>
                <w:strike/>
                <w:sz w:val="20"/>
                <w:szCs w:val="20"/>
                <w:lang w:val="en-US"/>
              </w:rPr>
              <w:t xml:space="preserve"> </w:t>
            </w:r>
            <w:r w:rsidR="00D651F0" w:rsidRPr="00D62D75">
              <w:rPr>
                <w:strike/>
                <w:sz w:val="20"/>
                <w:szCs w:val="20"/>
                <w:lang w:val="en-US"/>
              </w:rPr>
              <w:t xml:space="preserve">     </w:t>
            </w:r>
          </w:p>
          <w:p w14:paraId="2449CAAD" w14:textId="77777777" w:rsidR="00D651F0" w:rsidRPr="00502F8C" w:rsidRDefault="00D651F0" w:rsidP="00F964DC">
            <w:pPr>
              <w:rPr>
                <w:sz w:val="20"/>
                <w:szCs w:val="20"/>
                <w:lang w:val="en-US"/>
              </w:rPr>
            </w:pPr>
          </w:p>
        </w:tc>
      </w:tr>
      <w:tr w:rsidR="004714DE" w:rsidRPr="0075312F" w14:paraId="2FC6B940"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7BAC08BB" w14:textId="075A54E0" w:rsidR="004714DE" w:rsidRDefault="004714DE" w:rsidP="00F964DC">
            <w:pPr>
              <w:rPr>
                <w:sz w:val="20"/>
                <w:szCs w:val="20"/>
                <w:lang w:val="en-US"/>
              </w:rPr>
            </w:pPr>
            <w:r>
              <w:rPr>
                <w:sz w:val="20"/>
                <w:szCs w:val="20"/>
                <w:lang w:val="en-US"/>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021F74B" w14:textId="3D6BD8D1" w:rsidR="004714DE" w:rsidRDefault="00424EA6" w:rsidP="00F964DC">
            <w:pPr>
              <w:rPr>
                <w:sz w:val="20"/>
                <w:szCs w:val="20"/>
                <w:lang w:val="en-US"/>
              </w:rPr>
            </w:pPr>
            <w:r>
              <w:rPr>
                <w:sz w:val="20"/>
                <w:szCs w:val="20"/>
                <w:lang w:val="en-US"/>
              </w:rPr>
              <w:t>Corporate Anti-Fraud &amp; Corruption Strategy</w:t>
            </w:r>
            <w:r w:rsidR="00A87B49">
              <w:rPr>
                <w:sz w:val="20"/>
                <w:szCs w:val="20"/>
                <w:lang w:val="en-US"/>
              </w:rPr>
              <w:t xml:space="preserve"> 2022-26 self</w:t>
            </w:r>
            <w:r w:rsidR="00EA1967">
              <w:rPr>
                <w:sz w:val="20"/>
                <w:szCs w:val="20"/>
                <w:lang w:val="en-US"/>
              </w:rPr>
              <w:t>-</w:t>
            </w:r>
            <w:r w:rsidR="00A87B49">
              <w:rPr>
                <w:sz w:val="20"/>
                <w:szCs w:val="20"/>
                <w:lang w:val="en-US"/>
              </w:rPr>
              <w:t>assessment</w:t>
            </w:r>
          </w:p>
          <w:p w14:paraId="11D7F7CE" w14:textId="4454B148" w:rsidR="00A87B49" w:rsidRPr="00502F8C" w:rsidRDefault="00A87B49" w:rsidP="00F964DC">
            <w:pPr>
              <w:rPr>
                <w:sz w:val="20"/>
                <w:szCs w:val="20"/>
                <w:lang w:val="en-US"/>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54A55B5" w14:textId="6B11D42D" w:rsidR="004714DE" w:rsidRDefault="00A87B49" w:rsidP="00F964DC">
            <w:pPr>
              <w:rPr>
                <w:sz w:val="20"/>
                <w:szCs w:val="20"/>
                <w:lang w:val="en-US"/>
              </w:rPr>
            </w:pPr>
            <w:r>
              <w:rPr>
                <w:sz w:val="20"/>
                <w:szCs w:val="20"/>
                <w:lang w:val="en-US"/>
              </w:rPr>
              <w:t xml:space="preserve">Undertake a self assessment against the </w:t>
            </w:r>
            <w:r w:rsidR="000A4FE0">
              <w:rPr>
                <w:sz w:val="20"/>
                <w:szCs w:val="20"/>
                <w:lang w:val="en-US"/>
              </w:rPr>
              <w:t xml:space="preserve">Fighting Fraud &amp; Corruption Locally Strategy </w:t>
            </w:r>
            <w:r w:rsidR="00FE5749">
              <w:rPr>
                <w:sz w:val="20"/>
                <w:szCs w:val="20"/>
                <w:lang w:val="en-US"/>
              </w:rPr>
              <w:t>2020</w:t>
            </w:r>
            <w:r w:rsidR="002D5F28">
              <w:rPr>
                <w:sz w:val="20"/>
                <w:szCs w:val="20"/>
                <w:lang w:val="en-US"/>
              </w:rPr>
              <w:t xml:space="preserve"> </w:t>
            </w:r>
            <w:r w:rsidR="00A5766F">
              <w:rPr>
                <w:sz w:val="20"/>
                <w:szCs w:val="20"/>
                <w:lang w:val="en-US"/>
              </w:rPr>
              <w:t xml:space="preserve">checklist and </w:t>
            </w:r>
            <w:r w:rsidR="00AA205F">
              <w:rPr>
                <w:sz w:val="20"/>
                <w:szCs w:val="20"/>
                <w:lang w:val="en-US"/>
              </w:rPr>
              <w:t>draft an action plan for implementation</w:t>
            </w:r>
            <w:r w:rsidR="00AF746B">
              <w:rPr>
                <w:sz w:val="20"/>
                <w:szCs w:val="20"/>
                <w:lang w:val="en-US"/>
              </w:rPr>
              <w:t xml:space="preserve"> to</w:t>
            </w:r>
            <w:r w:rsidR="00E338FE">
              <w:rPr>
                <w:sz w:val="20"/>
                <w:szCs w:val="20"/>
                <w:lang w:val="en-US"/>
              </w:rPr>
              <w:t xml:space="preserve"> </w:t>
            </w:r>
            <w:r w:rsidR="00AF746B">
              <w:rPr>
                <w:sz w:val="20"/>
                <w:szCs w:val="20"/>
                <w:lang w:val="en-US"/>
              </w:rPr>
              <w:t xml:space="preserve">address </w:t>
            </w:r>
            <w:r w:rsidR="00E338FE">
              <w:rPr>
                <w:sz w:val="20"/>
                <w:szCs w:val="20"/>
                <w:lang w:val="en-US"/>
              </w:rPr>
              <w:t>any governance gaps identified</w:t>
            </w:r>
            <w:r w:rsidR="00AA205F">
              <w:rPr>
                <w:sz w:val="20"/>
                <w:szCs w:val="20"/>
                <w:lang w:val="en-US"/>
              </w:rPr>
              <w:t xml:space="preserve">  </w:t>
            </w:r>
            <w:r w:rsidR="000A4FE0">
              <w:rPr>
                <w:sz w:val="20"/>
                <w:szCs w:val="20"/>
                <w:lang w:val="en-US"/>
              </w:rPr>
              <w:t xml:space="preserve"> </w:t>
            </w:r>
            <w:r>
              <w:rPr>
                <w:sz w:val="20"/>
                <w:szCs w:val="20"/>
                <w:lang w:val="en-US"/>
              </w:rPr>
              <w:t xml:space="preserve"> </w:t>
            </w:r>
          </w:p>
        </w:tc>
      </w:tr>
      <w:tr w:rsidR="00D651F0" w:rsidRPr="0075312F" w14:paraId="44C95005"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59C1E49E" w14:textId="43144EDA" w:rsidR="00D651F0" w:rsidRPr="0075312F" w:rsidRDefault="00E338FE" w:rsidP="00F964DC">
            <w:pPr>
              <w:rPr>
                <w:sz w:val="20"/>
                <w:szCs w:val="20"/>
                <w:lang w:val="en-US"/>
              </w:rPr>
            </w:pPr>
            <w:r>
              <w:rPr>
                <w:sz w:val="20"/>
                <w:szCs w:val="20"/>
                <w:lang w:val="en-US"/>
              </w:rPr>
              <w:t>4</w:t>
            </w:r>
            <w:r w:rsidR="00D3180A">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E6C5B02" w14:textId="77777777" w:rsidR="00D651F0" w:rsidRPr="00502F8C" w:rsidRDefault="00D651F0" w:rsidP="00F964DC">
            <w:pPr>
              <w:rPr>
                <w:sz w:val="20"/>
                <w:szCs w:val="20"/>
                <w:lang w:val="en-US"/>
              </w:rPr>
            </w:pPr>
            <w:r w:rsidRPr="00502F8C">
              <w:rPr>
                <w:sz w:val="20"/>
                <w:szCs w:val="20"/>
                <w:lang w:val="en-US"/>
              </w:rPr>
              <w:t>National Fraud Initiative co-ordination role</w:t>
            </w:r>
          </w:p>
        </w:tc>
        <w:tc>
          <w:tcPr>
            <w:tcW w:w="9072" w:type="dxa"/>
            <w:tcBorders>
              <w:top w:val="single" w:sz="4" w:space="0" w:color="auto"/>
              <w:left w:val="nil"/>
              <w:bottom w:val="single" w:sz="4" w:space="0" w:color="auto"/>
              <w:right w:val="single" w:sz="4" w:space="0" w:color="auto"/>
            </w:tcBorders>
            <w:shd w:val="clear" w:color="auto" w:fill="auto"/>
          </w:tcPr>
          <w:p w14:paraId="10F3FB2D" w14:textId="1A68C9A6" w:rsidR="00D651F0" w:rsidRPr="00EF5CD4" w:rsidRDefault="00D651F0" w:rsidP="00F964DC">
            <w:pPr>
              <w:rPr>
                <w:sz w:val="20"/>
                <w:szCs w:val="20"/>
                <w:lang w:val="en-US"/>
              </w:rPr>
            </w:pPr>
            <w:r w:rsidRPr="00EF5CD4">
              <w:rPr>
                <w:sz w:val="20"/>
                <w:szCs w:val="20"/>
                <w:lang w:val="en-US"/>
              </w:rPr>
              <w:t>Co-ordination of the 20</w:t>
            </w:r>
            <w:r w:rsidR="00DF3704" w:rsidRPr="00EF5CD4">
              <w:rPr>
                <w:sz w:val="20"/>
                <w:szCs w:val="20"/>
                <w:lang w:val="en-US"/>
              </w:rPr>
              <w:t>2</w:t>
            </w:r>
            <w:r w:rsidR="003D2D9B" w:rsidRPr="00EF5CD4">
              <w:rPr>
                <w:sz w:val="20"/>
                <w:szCs w:val="20"/>
                <w:lang w:val="en-US"/>
              </w:rPr>
              <w:t>2</w:t>
            </w:r>
            <w:r w:rsidRPr="00EF5CD4">
              <w:rPr>
                <w:sz w:val="20"/>
                <w:szCs w:val="20"/>
                <w:lang w:val="en-US"/>
              </w:rPr>
              <w:t>/</w:t>
            </w:r>
            <w:r w:rsidR="00DF3704" w:rsidRPr="00EF5CD4">
              <w:rPr>
                <w:sz w:val="20"/>
                <w:szCs w:val="20"/>
                <w:lang w:val="en-US"/>
              </w:rPr>
              <w:t>2</w:t>
            </w:r>
            <w:r w:rsidR="003D2D9B" w:rsidRPr="00EF5CD4">
              <w:rPr>
                <w:sz w:val="20"/>
                <w:szCs w:val="20"/>
                <w:lang w:val="en-US"/>
              </w:rPr>
              <w:t>3</w:t>
            </w:r>
            <w:r w:rsidRPr="00EF5CD4">
              <w:rPr>
                <w:sz w:val="20"/>
                <w:szCs w:val="20"/>
                <w:lang w:val="en-US"/>
              </w:rPr>
              <w:t xml:space="preserve"> National Fraud Initiative (NFI) match processing including:-</w:t>
            </w:r>
          </w:p>
          <w:p w14:paraId="28DA8F12" w14:textId="63AF6DFE" w:rsidR="00EB0F46" w:rsidRPr="00EF5CD4" w:rsidRDefault="00EB0F46" w:rsidP="00F964DC">
            <w:pPr>
              <w:rPr>
                <w:sz w:val="20"/>
                <w:szCs w:val="20"/>
                <w:lang w:val="en-US"/>
              </w:rPr>
            </w:pPr>
          </w:p>
          <w:p w14:paraId="0E59D93A" w14:textId="1AD16A07" w:rsidR="00783AA4" w:rsidRPr="00783AA4" w:rsidRDefault="00783AA4" w:rsidP="00783AA4">
            <w:pPr>
              <w:pStyle w:val="Default"/>
              <w:numPr>
                <w:ilvl w:val="0"/>
                <w:numId w:val="13"/>
              </w:numPr>
              <w:rPr>
                <w:sz w:val="20"/>
                <w:szCs w:val="20"/>
              </w:rPr>
            </w:pPr>
            <w:r>
              <w:rPr>
                <w:sz w:val="20"/>
                <w:szCs w:val="20"/>
              </w:rPr>
              <w:t>Process all matches which are the responsibility of the CAFT</w:t>
            </w:r>
          </w:p>
          <w:p w14:paraId="27EF2C83" w14:textId="77777777" w:rsidR="00783AA4" w:rsidRDefault="00783AA4" w:rsidP="00783AA4">
            <w:pPr>
              <w:pStyle w:val="Default"/>
              <w:rPr>
                <w:sz w:val="20"/>
                <w:szCs w:val="20"/>
              </w:rPr>
            </w:pPr>
          </w:p>
          <w:p w14:paraId="1D8B5809" w14:textId="6EDD3F2B" w:rsidR="00783AA4" w:rsidRDefault="00783AA4" w:rsidP="00783AA4">
            <w:pPr>
              <w:pStyle w:val="Default"/>
              <w:numPr>
                <w:ilvl w:val="0"/>
                <w:numId w:val="13"/>
              </w:numPr>
              <w:rPr>
                <w:sz w:val="20"/>
                <w:szCs w:val="20"/>
              </w:rPr>
            </w:pPr>
            <w:r>
              <w:rPr>
                <w:sz w:val="20"/>
                <w:szCs w:val="20"/>
              </w:rPr>
              <w:t xml:space="preserve">Support service areas across the authority to ensure their matches are processed in a timely manner and that suspected fraud/error is investigated appropriately </w:t>
            </w:r>
          </w:p>
          <w:p w14:paraId="05BD1ED3" w14:textId="77777777" w:rsidR="00783AA4" w:rsidRDefault="00783AA4" w:rsidP="00783AA4">
            <w:pPr>
              <w:pStyle w:val="Default"/>
              <w:rPr>
                <w:sz w:val="20"/>
                <w:szCs w:val="20"/>
              </w:rPr>
            </w:pPr>
          </w:p>
          <w:p w14:paraId="4831D0E8" w14:textId="38CD5067" w:rsidR="00084C80" w:rsidRPr="004C2040" w:rsidRDefault="00783AA4" w:rsidP="00783AA4">
            <w:pPr>
              <w:pStyle w:val="ListParagraph"/>
              <w:numPr>
                <w:ilvl w:val="0"/>
                <w:numId w:val="13"/>
              </w:numPr>
              <w:rPr>
                <w:sz w:val="20"/>
                <w:szCs w:val="20"/>
                <w:lang w:val="en-US"/>
              </w:rPr>
            </w:pPr>
            <w:r>
              <w:rPr>
                <w:sz w:val="20"/>
                <w:szCs w:val="20"/>
              </w:rPr>
              <w:t>Process fraud referrals passed to the CAFT from other teams and from outside of the authority in line with team performance indicators</w:t>
            </w:r>
          </w:p>
          <w:p w14:paraId="3A283730" w14:textId="77777777" w:rsidR="004C2040" w:rsidRPr="004C2040" w:rsidRDefault="004C2040" w:rsidP="004C2040">
            <w:pPr>
              <w:pStyle w:val="ListParagraph"/>
              <w:rPr>
                <w:sz w:val="20"/>
                <w:szCs w:val="20"/>
                <w:lang w:val="en-US"/>
              </w:rPr>
            </w:pPr>
          </w:p>
          <w:p w14:paraId="4410BB8B" w14:textId="5E4996FA" w:rsidR="004C2040" w:rsidRPr="00084C80" w:rsidRDefault="004C2040" w:rsidP="004C2040">
            <w:pPr>
              <w:pStyle w:val="ListParagraph"/>
              <w:rPr>
                <w:sz w:val="20"/>
                <w:szCs w:val="20"/>
                <w:lang w:val="en-US"/>
              </w:rPr>
            </w:pPr>
          </w:p>
        </w:tc>
      </w:tr>
      <w:tr w:rsidR="00D651F0" w:rsidRPr="0075312F" w14:paraId="56C3E2C4"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5CA4A55B" w14:textId="06036FDC" w:rsidR="00D651F0" w:rsidRDefault="00091DC9" w:rsidP="00F964DC">
            <w:pPr>
              <w:rPr>
                <w:sz w:val="20"/>
                <w:szCs w:val="20"/>
                <w:lang w:val="en-US"/>
              </w:rPr>
            </w:pPr>
            <w:r>
              <w:rPr>
                <w:sz w:val="20"/>
                <w:szCs w:val="20"/>
                <w:lang w:val="en-US"/>
              </w:rPr>
              <w:t>5</w:t>
            </w:r>
            <w:r w:rsidR="00CF4AD8">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4D77C15" w14:textId="45545997" w:rsidR="002C48BE" w:rsidRPr="00CF4AD8" w:rsidRDefault="00DF5E7D" w:rsidP="00AF094C">
            <w:pPr>
              <w:rPr>
                <w:sz w:val="20"/>
                <w:szCs w:val="20"/>
                <w:lang w:val="en-US"/>
              </w:rPr>
            </w:pPr>
            <w:r>
              <w:rPr>
                <w:sz w:val="20"/>
                <w:szCs w:val="20"/>
                <w:lang w:val="en-US"/>
              </w:rPr>
              <w:t xml:space="preserve">Fraud e-learning </w:t>
            </w:r>
          </w:p>
        </w:tc>
        <w:tc>
          <w:tcPr>
            <w:tcW w:w="9072" w:type="dxa"/>
            <w:tcBorders>
              <w:top w:val="single" w:sz="4" w:space="0" w:color="auto"/>
              <w:left w:val="nil"/>
              <w:bottom w:val="single" w:sz="4" w:space="0" w:color="auto"/>
              <w:right w:val="single" w:sz="4" w:space="0" w:color="auto"/>
            </w:tcBorders>
            <w:shd w:val="clear" w:color="auto" w:fill="auto"/>
          </w:tcPr>
          <w:p w14:paraId="7F32E909" w14:textId="5C34A9B1" w:rsidR="00AF094C" w:rsidRDefault="00DF5E7D" w:rsidP="00AF094C">
            <w:pPr>
              <w:rPr>
                <w:sz w:val="20"/>
                <w:szCs w:val="20"/>
                <w:lang w:val="en-US"/>
              </w:rPr>
            </w:pPr>
            <w:r>
              <w:rPr>
                <w:sz w:val="20"/>
                <w:szCs w:val="20"/>
                <w:lang w:val="en-US"/>
              </w:rPr>
              <w:t>Assist in the d</w:t>
            </w:r>
            <w:r w:rsidR="00AF094C" w:rsidRPr="00CF4AD8">
              <w:rPr>
                <w:sz w:val="20"/>
                <w:szCs w:val="20"/>
                <w:lang w:val="en-US"/>
              </w:rPr>
              <w:t xml:space="preserve">esign and </w:t>
            </w:r>
            <w:r w:rsidR="00F552C6">
              <w:rPr>
                <w:sz w:val="20"/>
                <w:szCs w:val="20"/>
                <w:lang w:val="en-US"/>
              </w:rPr>
              <w:t>delivery</w:t>
            </w:r>
            <w:r>
              <w:rPr>
                <w:sz w:val="20"/>
                <w:szCs w:val="20"/>
                <w:lang w:val="en-US"/>
              </w:rPr>
              <w:t xml:space="preserve"> of </w:t>
            </w:r>
            <w:r w:rsidR="00AF094C">
              <w:rPr>
                <w:sz w:val="20"/>
                <w:szCs w:val="20"/>
                <w:lang w:val="en-US"/>
              </w:rPr>
              <w:t xml:space="preserve">a fraud e-learning package using the </w:t>
            </w:r>
            <w:r w:rsidR="00A22EA4">
              <w:rPr>
                <w:sz w:val="20"/>
                <w:szCs w:val="20"/>
                <w:lang w:val="en-US"/>
              </w:rPr>
              <w:t xml:space="preserve">authorities’ </w:t>
            </w:r>
            <w:r w:rsidR="00AF094C">
              <w:rPr>
                <w:sz w:val="20"/>
                <w:szCs w:val="20"/>
                <w:lang w:val="en-US"/>
              </w:rPr>
              <w:t>Learning Management System (LMS365)</w:t>
            </w:r>
            <w:r w:rsidR="00512D99">
              <w:rPr>
                <w:sz w:val="20"/>
                <w:szCs w:val="20"/>
                <w:lang w:val="en-US"/>
              </w:rPr>
              <w:t xml:space="preserve"> to replace the current </w:t>
            </w:r>
            <w:r w:rsidR="00056F6B">
              <w:rPr>
                <w:sz w:val="20"/>
                <w:szCs w:val="20"/>
                <w:lang w:val="en-US"/>
              </w:rPr>
              <w:t>package</w:t>
            </w:r>
            <w:r w:rsidR="00A22EA4">
              <w:rPr>
                <w:sz w:val="20"/>
                <w:szCs w:val="20"/>
                <w:lang w:val="en-US"/>
              </w:rPr>
              <w:t>.</w:t>
            </w:r>
            <w:r w:rsidR="00AF094C">
              <w:rPr>
                <w:sz w:val="20"/>
                <w:szCs w:val="20"/>
                <w:lang w:val="en-US"/>
              </w:rPr>
              <w:t xml:space="preserve">  </w:t>
            </w:r>
          </w:p>
          <w:p w14:paraId="3D665EF9" w14:textId="6A1E3A15" w:rsidR="00D651F0" w:rsidRPr="00502F8C" w:rsidRDefault="00D651F0" w:rsidP="00F964DC">
            <w:pPr>
              <w:rPr>
                <w:sz w:val="20"/>
                <w:szCs w:val="20"/>
                <w:lang w:val="en-US"/>
              </w:rPr>
            </w:pPr>
          </w:p>
        </w:tc>
      </w:tr>
      <w:tr w:rsidR="0082025F" w:rsidRPr="0075312F" w14:paraId="4BED83EF"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7553202B" w14:textId="531C7359" w:rsidR="0082025F" w:rsidRDefault="00091DC9" w:rsidP="00F964DC">
            <w:pPr>
              <w:rPr>
                <w:sz w:val="20"/>
                <w:szCs w:val="20"/>
                <w:lang w:val="en-US"/>
              </w:rPr>
            </w:pPr>
            <w:r>
              <w:rPr>
                <w:sz w:val="20"/>
                <w:szCs w:val="20"/>
                <w:lang w:val="en-US"/>
              </w:rPr>
              <w:t>6</w:t>
            </w:r>
            <w:r w:rsidR="0082025F">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105FD99" w14:textId="2DDCA84A" w:rsidR="0082025F" w:rsidRPr="00502F8C" w:rsidRDefault="0082025F" w:rsidP="00F964DC">
            <w:pPr>
              <w:rPr>
                <w:sz w:val="20"/>
                <w:szCs w:val="20"/>
                <w:lang w:val="en-US"/>
              </w:rPr>
            </w:pPr>
            <w:r>
              <w:rPr>
                <w:sz w:val="20"/>
                <w:szCs w:val="20"/>
                <w:lang w:val="en-US"/>
              </w:rPr>
              <w:t xml:space="preserve">Cifas </w:t>
            </w:r>
            <w:r w:rsidR="00005DC3">
              <w:rPr>
                <w:sz w:val="20"/>
                <w:szCs w:val="20"/>
                <w:lang w:val="en-US"/>
              </w:rPr>
              <w:t xml:space="preserve">Employee </w:t>
            </w:r>
            <w:r w:rsidR="00CF11CD">
              <w:rPr>
                <w:sz w:val="20"/>
                <w:szCs w:val="20"/>
                <w:lang w:val="en-US"/>
              </w:rPr>
              <w:t>Screening</w:t>
            </w:r>
          </w:p>
        </w:tc>
        <w:tc>
          <w:tcPr>
            <w:tcW w:w="9072" w:type="dxa"/>
            <w:tcBorders>
              <w:top w:val="single" w:sz="4" w:space="0" w:color="auto"/>
              <w:left w:val="nil"/>
              <w:bottom w:val="single" w:sz="4" w:space="0" w:color="auto"/>
              <w:right w:val="single" w:sz="4" w:space="0" w:color="auto"/>
            </w:tcBorders>
            <w:shd w:val="clear" w:color="auto" w:fill="auto"/>
          </w:tcPr>
          <w:p w14:paraId="0681D235" w14:textId="088B1924" w:rsidR="008C58C7" w:rsidRDefault="00005DC3" w:rsidP="00F964DC">
            <w:pPr>
              <w:rPr>
                <w:sz w:val="20"/>
                <w:szCs w:val="20"/>
                <w:lang w:val="en-US"/>
              </w:rPr>
            </w:pPr>
            <w:r>
              <w:rPr>
                <w:sz w:val="20"/>
                <w:szCs w:val="20"/>
                <w:lang w:val="en-US"/>
              </w:rPr>
              <w:t xml:space="preserve">Implement employee </w:t>
            </w:r>
            <w:r w:rsidR="00405E20">
              <w:rPr>
                <w:sz w:val="20"/>
                <w:szCs w:val="20"/>
                <w:lang w:val="en-US"/>
              </w:rPr>
              <w:t xml:space="preserve">fraud </w:t>
            </w:r>
            <w:r w:rsidR="00CF11CD">
              <w:rPr>
                <w:sz w:val="20"/>
                <w:szCs w:val="20"/>
                <w:lang w:val="en-US"/>
              </w:rPr>
              <w:t xml:space="preserve">screening </w:t>
            </w:r>
            <w:r w:rsidR="00614199">
              <w:rPr>
                <w:sz w:val="20"/>
                <w:szCs w:val="20"/>
                <w:lang w:val="en-US"/>
              </w:rPr>
              <w:t xml:space="preserve">using the </w:t>
            </w:r>
            <w:r w:rsidR="002962E4">
              <w:rPr>
                <w:sz w:val="20"/>
                <w:szCs w:val="20"/>
                <w:lang w:val="en-US"/>
              </w:rPr>
              <w:t xml:space="preserve">Cifas </w:t>
            </w:r>
            <w:r w:rsidR="00614199">
              <w:rPr>
                <w:sz w:val="20"/>
                <w:szCs w:val="20"/>
                <w:lang w:val="en-US"/>
              </w:rPr>
              <w:t>Enhanced Internal Fraud Database (EIFD)</w:t>
            </w:r>
            <w:r w:rsidR="00784721">
              <w:rPr>
                <w:sz w:val="20"/>
                <w:szCs w:val="20"/>
                <w:lang w:val="en-US"/>
              </w:rPr>
              <w:t xml:space="preserve"> </w:t>
            </w:r>
            <w:r w:rsidR="00DE7E2F">
              <w:rPr>
                <w:sz w:val="20"/>
                <w:szCs w:val="20"/>
                <w:lang w:val="en-US"/>
              </w:rPr>
              <w:t xml:space="preserve">for </w:t>
            </w:r>
            <w:r w:rsidR="00784721">
              <w:rPr>
                <w:sz w:val="20"/>
                <w:szCs w:val="20"/>
                <w:lang w:val="en-US"/>
              </w:rPr>
              <w:t>n</w:t>
            </w:r>
            <w:r w:rsidR="00CF11CD">
              <w:rPr>
                <w:sz w:val="20"/>
                <w:szCs w:val="20"/>
                <w:lang w:val="en-US"/>
              </w:rPr>
              <w:t xml:space="preserve">ew </w:t>
            </w:r>
            <w:r w:rsidR="00FC05E3">
              <w:rPr>
                <w:sz w:val="20"/>
                <w:szCs w:val="20"/>
                <w:lang w:val="en-US"/>
              </w:rPr>
              <w:t>permanent staff</w:t>
            </w:r>
            <w:r w:rsidR="00CF11CD">
              <w:rPr>
                <w:sz w:val="20"/>
                <w:szCs w:val="20"/>
                <w:lang w:val="en-US"/>
              </w:rPr>
              <w:t>.</w:t>
            </w:r>
          </w:p>
          <w:p w14:paraId="2DDE8052" w14:textId="1D63535D" w:rsidR="0082025F" w:rsidRPr="00502F8C" w:rsidRDefault="003F7AED" w:rsidP="00F964DC">
            <w:pPr>
              <w:rPr>
                <w:sz w:val="20"/>
                <w:szCs w:val="20"/>
                <w:lang w:val="en-US"/>
              </w:rPr>
            </w:pPr>
            <w:r>
              <w:rPr>
                <w:sz w:val="20"/>
                <w:szCs w:val="20"/>
                <w:lang w:val="en-US"/>
              </w:rPr>
              <w:t xml:space="preserve"> </w:t>
            </w:r>
          </w:p>
        </w:tc>
      </w:tr>
      <w:tr w:rsidR="00D651F0" w:rsidRPr="0075312F" w14:paraId="0A8734A5"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33DF657A" w14:textId="6894C664" w:rsidR="00D651F0" w:rsidRPr="0075312F" w:rsidRDefault="00091DC9" w:rsidP="00F964DC">
            <w:pPr>
              <w:rPr>
                <w:sz w:val="20"/>
                <w:szCs w:val="20"/>
                <w:lang w:val="en-US"/>
              </w:rPr>
            </w:pPr>
            <w:r>
              <w:rPr>
                <w:sz w:val="20"/>
                <w:szCs w:val="20"/>
                <w:lang w:val="en-US"/>
              </w:rPr>
              <w:lastRenderedPageBreak/>
              <w:t>7</w:t>
            </w:r>
            <w:r w:rsidR="00D651F0">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C44BEDB" w14:textId="77777777" w:rsidR="00D651F0" w:rsidRPr="00502F8C" w:rsidRDefault="00D651F0" w:rsidP="00F964DC">
            <w:pPr>
              <w:rPr>
                <w:sz w:val="20"/>
                <w:szCs w:val="20"/>
                <w:lang w:val="en-US"/>
              </w:rPr>
            </w:pPr>
            <w:r w:rsidRPr="00502F8C">
              <w:rPr>
                <w:sz w:val="20"/>
                <w:szCs w:val="20"/>
                <w:lang w:val="en-US"/>
              </w:rPr>
              <w:t>Corporate anti-fraud awareness</w:t>
            </w:r>
          </w:p>
        </w:tc>
        <w:tc>
          <w:tcPr>
            <w:tcW w:w="9072" w:type="dxa"/>
            <w:tcBorders>
              <w:top w:val="single" w:sz="4" w:space="0" w:color="auto"/>
              <w:left w:val="nil"/>
              <w:bottom w:val="single" w:sz="4" w:space="0" w:color="auto"/>
              <w:right w:val="single" w:sz="4" w:space="0" w:color="auto"/>
            </w:tcBorders>
            <w:shd w:val="clear" w:color="auto" w:fill="auto"/>
          </w:tcPr>
          <w:p w14:paraId="217F7C74" w14:textId="1355710C" w:rsidR="00D651F0" w:rsidRPr="00502F8C" w:rsidRDefault="00D651F0" w:rsidP="00F964DC">
            <w:pPr>
              <w:rPr>
                <w:sz w:val="20"/>
                <w:szCs w:val="20"/>
                <w:lang w:val="en-US"/>
              </w:rPr>
            </w:pPr>
            <w:r w:rsidRPr="00502F8C">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actions:-   </w:t>
            </w:r>
          </w:p>
          <w:p w14:paraId="32D63540" w14:textId="77777777" w:rsidR="00D651F0" w:rsidRPr="00502F8C" w:rsidRDefault="00D651F0" w:rsidP="00F964DC">
            <w:pPr>
              <w:rPr>
                <w:sz w:val="20"/>
                <w:szCs w:val="20"/>
                <w:lang w:val="en-US"/>
              </w:rPr>
            </w:pPr>
          </w:p>
          <w:p w14:paraId="4745404D" w14:textId="072B25E9" w:rsidR="001E338D" w:rsidRDefault="00C018A6" w:rsidP="001E338D">
            <w:pPr>
              <w:numPr>
                <w:ilvl w:val="0"/>
                <w:numId w:val="2"/>
              </w:numPr>
              <w:rPr>
                <w:sz w:val="20"/>
                <w:szCs w:val="20"/>
                <w:lang w:val="en-US"/>
              </w:rPr>
            </w:pPr>
            <w:r>
              <w:rPr>
                <w:sz w:val="20"/>
                <w:szCs w:val="20"/>
                <w:lang w:val="en-US"/>
              </w:rPr>
              <w:t>Assist Learning and Development with the continuation</w:t>
            </w:r>
            <w:r w:rsidR="006100CE">
              <w:rPr>
                <w:sz w:val="20"/>
                <w:szCs w:val="20"/>
                <w:lang w:val="en-US"/>
              </w:rPr>
              <w:t xml:space="preserve"> of </w:t>
            </w:r>
            <w:r w:rsidR="00CF05F3" w:rsidRPr="00CF05F3">
              <w:rPr>
                <w:sz w:val="20"/>
                <w:szCs w:val="20"/>
                <w:lang w:val="en-US"/>
              </w:rPr>
              <w:t>mandatory fraud e</w:t>
            </w:r>
            <w:r w:rsidR="00CF05F3">
              <w:rPr>
                <w:sz w:val="20"/>
                <w:szCs w:val="20"/>
                <w:lang w:val="en-US"/>
              </w:rPr>
              <w:t>-learning</w:t>
            </w:r>
            <w:r w:rsidR="00FC05E3">
              <w:rPr>
                <w:sz w:val="20"/>
                <w:szCs w:val="20"/>
                <w:lang w:val="en-US"/>
              </w:rPr>
              <w:t xml:space="preserve"> </w:t>
            </w:r>
            <w:r w:rsidR="007A7490">
              <w:rPr>
                <w:sz w:val="20"/>
                <w:szCs w:val="20"/>
                <w:lang w:val="en-US"/>
              </w:rPr>
              <w:t>and the changeover to a new e-learning course in year</w:t>
            </w:r>
          </w:p>
          <w:p w14:paraId="5DB8F748" w14:textId="0D4265BA" w:rsidR="00D651F0" w:rsidRPr="00502F8C" w:rsidRDefault="00D651F0" w:rsidP="001E338D">
            <w:pPr>
              <w:ind w:left="720"/>
              <w:rPr>
                <w:sz w:val="20"/>
                <w:szCs w:val="20"/>
                <w:lang w:val="en-US"/>
              </w:rPr>
            </w:pPr>
            <w:r w:rsidRPr="00502F8C">
              <w:rPr>
                <w:sz w:val="20"/>
                <w:szCs w:val="20"/>
                <w:lang w:val="en-US"/>
              </w:rPr>
              <w:t xml:space="preserve">  </w:t>
            </w:r>
          </w:p>
          <w:p w14:paraId="08EBAB39" w14:textId="490AC94C" w:rsidR="00D651F0" w:rsidRPr="00502F8C" w:rsidRDefault="00F53073" w:rsidP="00725DF5">
            <w:pPr>
              <w:numPr>
                <w:ilvl w:val="0"/>
                <w:numId w:val="2"/>
              </w:numPr>
              <w:rPr>
                <w:sz w:val="20"/>
                <w:szCs w:val="20"/>
                <w:lang w:val="en-US"/>
              </w:rPr>
            </w:pPr>
            <w:r>
              <w:rPr>
                <w:sz w:val="20"/>
                <w:szCs w:val="20"/>
                <w:lang w:val="en-US"/>
              </w:rPr>
              <w:t>F</w:t>
            </w:r>
            <w:r w:rsidR="00AC20F2">
              <w:rPr>
                <w:sz w:val="20"/>
                <w:szCs w:val="20"/>
                <w:lang w:val="en-US"/>
              </w:rPr>
              <w:t>raud</w:t>
            </w:r>
            <w:r w:rsidR="00D651F0" w:rsidRPr="00502F8C">
              <w:rPr>
                <w:sz w:val="20"/>
                <w:szCs w:val="20"/>
                <w:lang w:val="en-US"/>
              </w:rPr>
              <w:t xml:space="preserve"> communication bulletins in relation to articles on fraud and corruption</w:t>
            </w:r>
            <w:r>
              <w:rPr>
                <w:sz w:val="20"/>
                <w:szCs w:val="20"/>
                <w:lang w:val="en-US"/>
              </w:rPr>
              <w:t xml:space="preserve"> including real</w:t>
            </w:r>
            <w:r w:rsidR="00FB3B69">
              <w:rPr>
                <w:sz w:val="20"/>
                <w:szCs w:val="20"/>
                <w:lang w:val="en-US"/>
              </w:rPr>
              <w:t xml:space="preserve"> case studies</w:t>
            </w:r>
            <w:r w:rsidR="00576AC0">
              <w:rPr>
                <w:sz w:val="20"/>
                <w:szCs w:val="20"/>
                <w:lang w:val="en-US"/>
              </w:rPr>
              <w:t xml:space="preserve">                                                                                       </w:t>
            </w:r>
            <w:r w:rsidR="00AE4BB8">
              <w:rPr>
                <w:sz w:val="20"/>
                <w:szCs w:val="20"/>
                <w:lang w:val="en-US"/>
              </w:rPr>
              <w:t xml:space="preserve">                                  </w:t>
            </w:r>
            <w:r w:rsidR="00FB3B69">
              <w:rPr>
                <w:sz w:val="20"/>
                <w:szCs w:val="20"/>
                <w:lang w:val="en-US"/>
              </w:rPr>
              <w:t xml:space="preserve"> </w:t>
            </w:r>
          </w:p>
          <w:p w14:paraId="541467F9" w14:textId="77777777" w:rsidR="00D651F0" w:rsidRPr="00502F8C" w:rsidRDefault="00D651F0" w:rsidP="00F964DC">
            <w:pPr>
              <w:rPr>
                <w:sz w:val="20"/>
                <w:szCs w:val="20"/>
                <w:lang w:val="en-US"/>
              </w:rPr>
            </w:pPr>
          </w:p>
          <w:p w14:paraId="2DE59320" w14:textId="7C0F3948" w:rsidR="00D651F0" w:rsidRPr="00502F8C" w:rsidRDefault="00D651F0" w:rsidP="00725DF5">
            <w:pPr>
              <w:numPr>
                <w:ilvl w:val="0"/>
                <w:numId w:val="2"/>
              </w:numPr>
              <w:rPr>
                <w:sz w:val="20"/>
                <w:szCs w:val="20"/>
                <w:lang w:val="en-US"/>
              </w:rPr>
            </w:pPr>
            <w:r w:rsidRPr="00502F8C">
              <w:rPr>
                <w:sz w:val="20"/>
                <w:szCs w:val="20"/>
                <w:lang w:val="en-US"/>
              </w:rPr>
              <w:t>Issuing management reports detailing investigation outcomes and recommendations for improving fraud risk controls are implemented (KPI5)</w:t>
            </w:r>
          </w:p>
          <w:p w14:paraId="5B49FA08" w14:textId="77777777" w:rsidR="00D651F0" w:rsidRPr="00502F8C" w:rsidRDefault="00D651F0" w:rsidP="00F964DC">
            <w:pPr>
              <w:rPr>
                <w:sz w:val="20"/>
                <w:szCs w:val="20"/>
                <w:lang w:val="en-US"/>
              </w:rPr>
            </w:pPr>
          </w:p>
          <w:p w14:paraId="4009E2B7" w14:textId="77777777" w:rsidR="00D651F0" w:rsidRPr="00502F8C" w:rsidRDefault="00D651F0" w:rsidP="00725DF5">
            <w:pPr>
              <w:numPr>
                <w:ilvl w:val="0"/>
                <w:numId w:val="2"/>
              </w:numPr>
              <w:rPr>
                <w:sz w:val="20"/>
                <w:szCs w:val="20"/>
                <w:lang w:val="en-US"/>
              </w:rPr>
            </w:pPr>
            <w:r w:rsidRPr="00502F8C">
              <w:rPr>
                <w:sz w:val="20"/>
                <w:szCs w:val="20"/>
                <w:lang w:val="en-US"/>
              </w:rPr>
              <w:t>Deliver fraud workshops/CAFT attendance at team meetings for high fraud risk areas as appropriate</w:t>
            </w:r>
          </w:p>
          <w:p w14:paraId="564B7034" w14:textId="77777777" w:rsidR="00D651F0" w:rsidRPr="00502F8C" w:rsidRDefault="00D651F0" w:rsidP="00F964DC">
            <w:pPr>
              <w:rPr>
                <w:sz w:val="20"/>
                <w:szCs w:val="20"/>
                <w:lang w:val="en-US"/>
              </w:rPr>
            </w:pPr>
          </w:p>
          <w:p w14:paraId="458E48A4" w14:textId="77777777" w:rsidR="00D651F0" w:rsidRPr="00502F8C" w:rsidRDefault="00D651F0" w:rsidP="002964DF">
            <w:pPr>
              <w:numPr>
                <w:ilvl w:val="0"/>
                <w:numId w:val="2"/>
              </w:numPr>
              <w:rPr>
                <w:sz w:val="20"/>
                <w:szCs w:val="20"/>
                <w:lang w:val="en-US"/>
              </w:rPr>
            </w:pPr>
            <w:r w:rsidRPr="00502F8C">
              <w:rPr>
                <w:sz w:val="20"/>
                <w:szCs w:val="20"/>
                <w:lang w:val="en-US"/>
              </w:rPr>
              <w:t>Publicity through all forms of media on successful fraud cases, fraud initiatives and related prosecution outcomes</w:t>
            </w:r>
          </w:p>
          <w:p w14:paraId="7E859676" w14:textId="77777777" w:rsidR="00220F82" w:rsidRPr="00502F8C" w:rsidRDefault="00220F82" w:rsidP="00220F82">
            <w:pPr>
              <w:pStyle w:val="ListParagraph"/>
              <w:rPr>
                <w:sz w:val="20"/>
                <w:szCs w:val="20"/>
                <w:lang w:val="en-US"/>
              </w:rPr>
            </w:pPr>
          </w:p>
          <w:p w14:paraId="05B394EF" w14:textId="2A5B7A31" w:rsidR="00220F82" w:rsidRPr="00502F8C" w:rsidRDefault="00220F82" w:rsidP="002964DF">
            <w:pPr>
              <w:numPr>
                <w:ilvl w:val="0"/>
                <w:numId w:val="2"/>
              </w:numPr>
              <w:rPr>
                <w:sz w:val="20"/>
                <w:szCs w:val="20"/>
                <w:lang w:val="en-US"/>
              </w:rPr>
            </w:pPr>
            <w:r w:rsidRPr="00502F8C">
              <w:rPr>
                <w:sz w:val="20"/>
                <w:szCs w:val="20"/>
                <w:lang w:val="en-US"/>
              </w:rPr>
              <w:t>The use of Yammer to promote fraud awareness and signpost to the e-learning package</w:t>
            </w:r>
          </w:p>
          <w:p w14:paraId="55655543" w14:textId="77777777" w:rsidR="00220F82" w:rsidRPr="00502F8C" w:rsidRDefault="00220F82" w:rsidP="00220F82">
            <w:pPr>
              <w:pStyle w:val="ListParagraph"/>
              <w:rPr>
                <w:sz w:val="20"/>
                <w:szCs w:val="20"/>
                <w:lang w:val="en-US"/>
              </w:rPr>
            </w:pPr>
          </w:p>
          <w:p w14:paraId="271C600C" w14:textId="217E4F44" w:rsidR="00220F82" w:rsidRPr="00502F8C" w:rsidRDefault="00220F82" w:rsidP="00220F82">
            <w:pPr>
              <w:rPr>
                <w:sz w:val="20"/>
                <w:szCs w:val="20"/>
                <w:lang w:val="en-US"/>
              </w:rPr>
            </w:pPr>
          </w:p>
        </w:tc>
      </w:tr>
      <w:tr w:rsidR="00D651F0" w:rsidRPr="0075312F" w14:paraId="6EDC87CE"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7FFB5F0D" w14:textId="47D6BEE8" w:rsidR="00D651F0" w:rsidRPr="0075312F" w:rsidRDefault="00091DC9" w:rsidP="00F964DC">
            <w:pPr>
              <w:rPr>
                <w:sz w:val="20"/>
                <w:szCs w:val="20"/>
                <w:lang w:val="en-US"/>
              </w:rPr>
            </w:pPr>
            <w:r>
              <w:rPr>
                <w:sz w:val="20"/>
                <w:szCs w:val="20"/>
                <w:lang w:val="en-US"/>
              </w:rPr>
              <w:t>8</w:t>
            </w:r>
            <w:r w:rsidR="00D651F0">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97A7001" w14:textId="77777777" w:rsidR="00D651F0" w:rsidRPr="00502F8C" w:rsidRDefault="00D651F0" w:rsidP="00F964DC">
            <w:pPr>
              <w:rPr>
                <w:sz w:val="20"/>
                <w:szCs w:val="20"/>
                <w:lang w:val="en-US"/>
              </w:rPr>
            </w:pPr>
            <w:r w:rsidRPr="00502F8C">
              <w:rPr>
                <w:sz w:val="20"/>
                <w:szCs w:val="20"/>
                <w:lang w:val="en-US"/>
              </w:rPr>
              <w:t>Fraud liaison</w:t>
            </w:r>
          </w:p>
        </w:tc>
        <w:tc>
          <w:tcPr>
            <w:tcW w:w="9072" w:type="dxa"/>
            <w:tcBorders>
              <w:top w:val="single" w:sz="4" w:space="0" w:color="auto"/>
              <w:left w:val="nil"/>
              <w:bottom w:val="single" w:sz="4" w:space="0" w:color="auto"/>
              <w:right w:val="single" w:sz="4" w:space="0" w:color="auto"/>
            </w:tcBorders>
            <w:shd w:val="clear" w:color="auto" w:fill="auto"/>
          </w:tcPr>
          <w:p w14:paraId="1EA9C21D" w14:textId="77777777" w:rsidR="00D651F0" w:rsidRPr="00502F8C" w:rsidRDefault="00D651F0" w:rsidP="00A21F53">
            <w:pPr>
              <w:rPr>
                <w:sz w:val="20"/>
                <w:szCs w:val="20"/>
                <w:lang w:val="en-US"/>
              </w:rPr>
            </w:pPr>
            <w:r w:rsidRPr="00502F8C">
              <w:rPr>
                <w:sz w:val="20"/>
                <w:szCs w:val="20"/>
                <w:lang w:val="en-US"/>
              </w:rPr>
              <w:t>Explore, develop and maintain effective liaison with investigation teams in other boroughs and external agencies and ensure that membership and interest continues in</w:t>
            </w:r>
            <w:r w:rsidR="00A21F53" w:rsidRPr="00502F8C">
              <w:rPr>
                <w:sz w:val="20"/>
                <w:szCs w:val="20"/>
                <w:lang w:val="en-US"/>
              </w:rPr>
              <w:t xml:space="preserve"> </w:t>
            </w:r>
            <w:r w:rsidRPr="00502F8C">
              <w:rPr>
                <w:sz w:val="20"/>
                <w:szCs w:val="20"/>
                <w:lang w:val="en-US"/>
              </w:rPr>
              <w:t>the London Borough of Fraud Investigators Group (LBFIG), The National Anti-Fraud Network (NAFN), The Chartered Institute of Public Finance and Accountancy (CIPFA)</w:t>
            </w:r>
            <w:r w:rsidR="00A21F53" w:rsidRPr="00502F8C">
              <w:rPr>
                <w:sz w:val="20"/>
                <w:szCs w:val="20"/>
                <w:lang w:val="en-US"/>
              </w:rPr>
              <w:t xml:space="preserve"> and</w:t>
            </w:r>
            <w:r w:rsidRPr="00502F8C">
              <w:rPr>
                <w:sz w:val="20"/>
                <w:szCs w:val="20"/>
                <w:lang w:val="en-US"/>
              </w:rPr>
              <w:t xml:space="preserve"> Cifas </w:t>
            </w:r>
          </w:p>
          <w:p w14:paraId="5B7CF136" w14:textId="6A10B983" w:rsidR="00A21F53" w:rsidRPr="00502F8C" w:rsidRDefault="00A21F53" w:rsidP="00A21F53">
            <w:pPr>
              <w:rPr>
                <w:sz w:val="20"/>
                <w:szCs w:val="20"/>
                <w:lang w:val="en-US"/>
              </w:rPr>
            </w:pPr>
          </w:p>
        </w:tc>
      </w:tr>
      <w:tr w:rsidR="00D651F0" w:rsidRPr="0075312F" w14:paraId="2915CE0D"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1D52D031" w14:textId="419340D9" w:rsidR="00D651F0" w:rsidRDefault="00091DC9" w:rsidP="00F964DC">
            <w:pPr>
              <w:rPr>
                <w:sz w:val="20"/>
                <w:szCs w:val="20"/>
                <w:lang w:val="en-US"/>
              </w:rPr>
            </w:pPr>
            <w:r>
              <w:rPr>
                <w:sz w:val="20"/>
                <w:szCs w:val="20"/>
                <w:lang w:val="en-US"/>
              </w:rPr>
              <w:t>9</w:t>
            </w:r>
            <w:r w:rsidR="00D651F0">
              <w:rPr>
                <w:sz w:val="20"/>
                <w:szCs w:val="20"/>
                <w:lang w:val="en-US"/>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D09A013" w14:textId="01E21704" w:rsidR="00D651F0" w:rsidRPr="00502F8C" w:rsidRDefault="00111C03" w:rsidP="00F964DC">
            <w:pPr>
              <w:rPr>
                <w:sz w:val="20"/>
                <w:szCs w:val="20"/>
                <w:lang w:val="en-US"/>
              </w:rPr>
            </w:pPr>
            <w:r>
              <w:rPr>
                <w:sz w:val="20"/>
                <w:szCs w:val="20"/>
                <w:lang w:val="en-US"/>
              </w:rPr>
              <w:t xml:space="preserve">Challenging </w:t>
            </w:r>
            <w:r w:rsidR="00CD4D41">
              <w:rPr>
                <w:sz w:val="20"/>
                <w:szCs w:val="20"/>
                <w:lang w:val="en-US"/>
              </w:rPr>
              <w:t>Organised Crime Group</w:t>
            </w:r>
            <w:r>
              <w:rPr>
                <w:sz w:val="20"/>
                <w:szCs w:val="20"/>
                <w:lang w:val="en-US"/>
              </w:rPr>
              <w:t xml:space="preserve">s </w:t>
            </w:r>
            <w:r w:rsidR="00C96DAC">
              <w:rPr>
                <w:sz w:val="20"/>
                <w:szCs w:val="20"/>
                <w:lang w:val="en-US"/>
              </w:rPr>
              <w:t>(OCGs)</w:t>
            </w:r>
            <w:r w:rsidR="00685D6E">
              <w:rPr>
                <w:sz w:val="20"/>
                <w:szCs w:val="20"/>
                <w:lang w:val="en-US"/>
              </w:rPr>
              <w:t xml:space="preserve"> </w:t>
            </w:r>
            <w:r>
              <w:rPr>
                <w:sz w:val="20"/>
                <w:szCs w:val="20"/>
                <w:lang w:val="en-US"/>
              </w:rPr>
              <w:t>project</w:t>
            </w:r>
            <w:r w:rsidR="00CD4D41">
              <w:rPr>
                <w:sz w:val="20"/>
                <w:szCs w:val="20"/>
                <w:lang w:val="en-US"/>
              </w:rPr>
              <w:t xml:space="preserve"> </w:t>
            </w:r>
          </w:p>
          <w:p w14:paraId="454EBC30" w14:textId="77777777" w:rsidR="00D651F0" w:rsidRPr="00502F8C" w:rsidRDefault="00D651F0" w:rsidP="00F964DC">
            <w:pPr>
              <w:rPr>
                <w:sz w:val="20"/>
                <w:szCs w:val="20"/>
                <w:lang w:val="en-US"/>
              </w:rPr>
            </w:pPr>
          </w:p>
          <w:p w14:paraId="3B45C8F7" w14:textId="77777777" w:rsidR="00D651F0" w:rsidRPr="00502F8C" w:rsidRDefault="00D651F0" w:rsidP="00F964DC">
            <w:pPr>
              <w:rPr>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281B93C0" w14:textId="4757361A" w:rsidR="00D651F0" w:rsidRPr="00502F8C" w:rsidRDefault="00BF5288" w:rsidP="00BE0E71">
            <w:pPr>
              <w:rPr>
                <w:sz w:val="20"/>
                <w:szCs w:val="20"/>
                <w:lang w:val="en-US"/>
              </w:rPr>
            </w:pPr>
            <w:r>
              <w:rPr>
                <w:sz w:val="20"/>
                <w:szCs w:val="20"/>
                <w:lang w:val="en-US"/>
              </w:rPr>
              <w:t>Continue to e</w:t>
            </w:r>
            <w:r w:rsidR="008B6B1F">
              <w:rPr>
                <w:sz w:val="20"/>
                <w:szCs w:val="20"/>
                <w:lang w:val="en-US"/>
              </w:rPr>
              <w:t xml:space="preserve">xplore a proof of concept </w:t>
            </w:r>
            <w:r w:rsidR="00C96DAC">
              <w:rPr>
                <w:sz w:val="20"/>
                <w:szCs w:val="20"/>
                <w:lang w:val="en-US"/>
              </w:rPr>
              <w:t>to</w:t>
            </w:r>
            <w:r w:rsidR="001350EB">
              <w:rPr>
                <w:sz w:val="20"/>
                <w:szCs w:val="20"/>
                <w:lang w:val="en-US"/>
              </w:rPr>
              <w:t xml:space="preserve"> identify and investigate</w:t>
            </w:r>
            <w:r w:rsidR="00C96DAC">
              <w:rPr>
                <w:sz w:val="20"/>
                <w:szCs w:val="20"/>
                <w:lang w:val="en-US"/>
              </w:rPr>
              <w:t xml:space="preserve"> OCGs</w:t>
            </w:r>
            <w:r w:rsidR="00685D6E">
              <w:rPr>
                <w:sz w:val="20"/>
                <w:szCs w:val="20"/>
                <w:lang w:val="en-US"/>
              </w:rPr>
              <w:t xml:space="preserve"> </w:t>
            </w:r>
            <w:r w:rsidR="005C2A20">
              <w:rPr>
                <w:sz w:val="20"/>
                <w:szCs w:val="20"/>
                <w:lang w:val="en-US"/>
              </w:rPr>
              <w:t>in partnership with the Department for Business, Energy &amp; Industri</w:t>
            </w:r>
            <w:r w:rsidR="00FF6112">
              <w:rPr>
                <w:sz w:val="20"/>
                <w:szCs w:val="20"/>
                <w:lang w:val="en-US"/>
              </w:rPr>
              <w:t>a</w:t>
            </w:r>
            <w:r w:rsidR="005C2A20">
              <w:rPr>
                <w:sz w:val="20"/>
                <w:szCs w:val="20"/>
                <w:lang w:val="en-US"/>
              </w:rPr>
              <w:t>l Strategy (BEIS)</w:t>
            </w:r>
            <w:r w:rsidR="00FF6112">
              <w:rPr>
                <w:sz w:val="20"/>
                <w:szCs w:val="20"/>
                <w:lang w:val="en-US"/>
              </w:rPr>
              <w:t>, University of the West of England</w:t>
            </w:r>
            <w:r w:rsidR="00141E21">
              <w:rPr>
                <w:sz w:val="20"/>
                <w:szCs w:val="20"/>
                <w:lang w:val="en-US"/>
              </w:rPr>
              <w:t xml:space="preserve"> &amp; Synalogik Innovative Solutions</w:t>
            </w:r>
          </w:p>
        </w:tc>
      </w:tr>
      <w:tr w:rsidR="00D651F0" w:rsidRPr="005F0B23" w14:paraId="3CE1D31A"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6C61588D" w14:textId="148A63CB" w:rsidR="00D651F0" w:rsidRPr="005F0B23" w:rsidRDefault="00091DC9" w:rsidP="00F964DC">
            <w:pPr>
              <w:rPr>
                <w:sz w:val="20"/>
                <w:szCs w:val="20"/>
              </w:rPr>
            </w:pPr>
            <w:r>
              <w:rPr>
                <w:sz w:val="20"/>
                <w:szCs w:val="20"/>
              </w:rPr>
              <w:t>10</w:t>
            </w:r>
            <w:r w:rsidR="00D651F0">
              <w:rPr>
                <w:sz w:val="20"/>
                <w:szCs w:val="20"/>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D8F0D0F" w14:textId="77777777" w:rsidR="00D651F0" w:rsidRPr="00502F8C" w:rsidRDefault="00D651F0" w:rsidP="00F964DC">
            <w:pPr>
              <w:rPr>
                <w:sz w:val="20"/>
                <w:szCs w:val="20"/>
              </w:rPr>
            </w:pPr>
            <w:r w:rsidRPr="00502F8C">
              <w:rPr>
                <w:sz w:val="20"/>
                <w:szCs w:val="20"/>
              </w:rPr>
              <w:t>Housing fraud</w:t>
            </w:r>
          </w:p>
        </w:tc>
        <w:tc>
          <w:tcPr>
            <w:tcW w:w="9072" w:type="dxa"/>
            <w:tcBorders>
              <w:top w:val="single" w:sz="4" w:space="0" w:color="auto"/>
              <w:left w:val="nil"/>
              <w:bottom w:val="single" w:sz="4" w:space="0" w:color="auto"/>
              <w:right w:val="single" w:sz="4" w:space="0" w:color="auto"/>
            </w:tcBorders>
            <w:shd w:val="clear" w:color="auto" w:fill="auto"/>
          </w:tcPr>
          <w:p w14:paraId="74FF987A" w14:textId="77777777" w:rsidR="00C2618A" w:rsidRPr="00502F8C" w:rsidRDefault="00C2618A" w:rsidP="00C2618A">
            <w:pPr>
              <w:rPr>
                <w:sz w:val="20"/>
                <w:szCs w:val="20"/>
              </w:rPr>
            </w:pPr>
            <w:r w:rsidRPr="00502F8C">
              <w:rPr>
                <w:sz w:val="20"/>
                <w:szCs w:val="20"/>
              </w:rPr>
              <w:t>Assess and investigate allegations of fraud and abuse in the housing system working in partnership with Housing Resident Services, Housing Needs and Harrow’s RSL’s including:</w:t>
            </w:r>
          </w:p>
          <w:p w14:paraId="10A19730" w14:textId="77777777" w:rsidR="00C2618A" w:rsidRPr="00502F8C" w:rsidRDefault="00C2618A" w:rsidP="00C2618A">
            <w:pPr>
              <w:rPr>
                <w:sz w:val="20"/>
                <w:szCs w:val="20"/>
              </w:rPr>
            </w:pPr>
            <w:r w:rsidRPr="00502F8C">
              <w:rPr>
                <w:sz w:val="20"/>
                <w:szCs w:val="20"/>
              </w:rPr>
              <w:t xml:space="preserve"> </w:t>
            </w:r>
          </w:p>
          <w:p w14:paraId="50CB685F" w14:textId="744F1952" w:rsidR="00C2618A" w:rsidRPr="00502F8C" w:rsidRDefault="00C2618A" w:rsidP="00C2618A">
            <w:pPr>
              <w:rPr>
                <w:sz w:val="20"/>
                <w:szCs w:val="20"/>
              </w:rPr>
            </w:pPr>
            <w:r w:rsidRPr="00502F8C">
              <w:sym w:font="Symbol" w:char="F0B7"/>
            </w:r>
            <w:r w:rsidRPr="00502F8C">
              <w:rPr>
                <w:sz w:val="20"/>
                <w:szCs w:val="20"/>
              </w:rPr>
              <w:t xml:space="preserve"> Seek to recover a combined total of 1</w:t>
            </w:r>
            <w:r w:rsidR="00B935A1">
              <w:rPr>
                <w:sz w:val="20"/>
                <w:szCs w:val="20"/>
              </w:rPr>
              <w:t>1</w:t>
            </w:r>
            <w:r w:rsidRPr="00502F8C">
              <w:rPr>
                <w:sz w:val="20"/>
                <w:szCs w:val="20"/>
              </w:rPr>
              <w:t xml:space="preserve"> Council social housing units and disrupt/intercept fraudulent Right to Buy applications (KPI1)</w:t>
            </w:r>
          </w:p>
          <w:p w14:paraId="6ACFD7D7" w14:textId="0CDB36A1" w:rsidR="00C2618A" w:rsidRPr="00502F8C" w:rsidRDefault="00C2618A" w:rsidP="00C2618A">
            <w:pPr>
              <w:rPr>
                <w:sz w:val="20"/>
                <w:szCs w:val="20"/>
              </w:rPr>
            </w:pPr>
            <w:r w:rsidRPr="00502F8C">
              <w:rPr>
                <w:sz w:val="20"/>
                <w:szCs w:val="20"/>
              </w:rPr>
              <w:t xml:space="preserve"> </w:t>
            </w:r>
          </w:p>
          <w:p w14:paraId="65D850DD" w14:textId="6A9BBC19" w:rsidR="00C2618A" w:rsidRDefault="00C2618A" w:rsidP="00C2618A">
            <w:pPr>
              <w:rPr>
                <w:sz w:val="20"/>
                <w:szCs w:val="20"/>
              </w:rPr>
            </w:pPr>
            <w:r w:rsidRPr="00502F8C">
              <w:lastRenderedPageBreak/>
              <w:sym w:font="Symbol" w:char="F0B7"/>
            </w:r>
            <w:r w:rsidRPr="00502F8C">
              <w:rPr>
                <w:sz w:val="20"/>
                <w:szCs w:val="20"/>
              </w:rPr>
              <w:t xml:space="preserve"> Prevent housing application fraud through a partnership approach with Housing Needs providing fraud risk advice, support and the investigation of allegations of fraud </w:t>
            </w:r>
          </w:p>
          <w:p w14:paraId="738C00A4" w14:textId="77777777" w:rsidR="005E3A2C" w:rsidRPr="00502F8C" w:rsidRDefault="005E3A2C" w:rsidP="00C2618A">
            <w:pPr>
              <w:rPr>
                <w:sz w:val="20"/>
                <w:szCs w:val="20"/>
              </w:rPr>
            </w:pPr>
          </w:p>
          <w:p w14:paraId="2FC870CE" w14:textId="77777777" w:rsidR="00C2618A" w:rsidRPr="00502F8C" w:rsidRDefault="00C2618A" w:rsidP="00C2618A">
            <w:pPr>
              <w:rPr>
                <w:sz w:val="20"/>
                <w:szCs w:val="20"/>
              </w:rPr>
            </w:pPr>
            <w:r w:rsidRPr="00502F8C">
              <w:sym w:font="Symbol" w:char="F0B7"/>
            </w:r>
            <w:r w:rsidRPr="00502F8C">
              <w:rPr>
                <w:sz w:val="20"/>
                <w:szCs w:val="20"/>
              </w:rPr>
              <w:t xml:space="preserve"> Prevent fraudulent Right to Buy (RTB) applications through targeted application validation with a fraud check on at least 90% applications referred to the CAFT at offer stage and before completion (KPI2) </w:t>
            </w:r>
          </w:p>
          <w:p w14:paraId="5B3CC599" w14:textId="77777777" w:rsidR="00C2618A" w:rsidRPr="00502F8C" w:rsidRDefault="00C2618A" w:rsidP="00C2618A"/>
          <w:p w14:paraId="43040EED" w14:textId="77777777" w:rsidR="00C2618A" w:rsidRPr="00502F8C" w:rsidRDefault="00C2618A" w:rsidP="00C2618A">
            <w:pPr>
              <w:rPr>
                <w:sz w:val="20"/>
                <w:szCs w:val="20"/>
              </w:rPr>
            </w:pPr>
            <w:r w:rsidRPr="00502F8C">
              <w:sym w:font="Symbol" w:char="F0B7"/>
            </w:r>
            <w:r w:rsidRPr="00502F8C">
              <w:rPr>
                <w:sz w:val="20"/>
                <w:szCs w:val="20"/>
              </w:rPr>
              <w:t xml:space="preserve"> Maximise the use of powers contained within the Prevention of Social Housing Fraud Act 2013 (PoSHFA) in terms of gathering evidence, investigation and prosecution of offenders and recovery of unlawful profit </w:t>
            </w:r>
          </w:p>
          <w:p w14:paraId="39FE39E0" w14:textId="77777777" w:rsidR="00C2618A" w:rsidRPr="00502F8C" w:rsidRDefault="00C2618A" w:rsidP="00C2618A"/>
          <w:p w14:paraId="304F3AB2" w14:textId="0F7EC821" w:rsidR="00D651F0" w:rsidRPr="00502F8C" w:rsidRDefault="00C2618A" w:rsidP="00C2618A">
            <w:pPr>
              <w:rPr>
                <w:sz w:val="20"/>
                <w:szCs w:val="20"/>
              </w:rPr>
            </w:pPr>
            <w:r w:rsidRPr="00502F8C">
              <w:sym w:font="Symbol" w:char="F0B7"/>
            </w:r>
            <w:r w:rsidRPr="00502F8C">
              <w:rPr>
                <w:sz w:val="20"/>
                <w:szCs w:val="20"/>
              </w:rPr>
              <w:t xml:space="preserve"> Plan and implement a proactive anti-fraud </w:t>
            </w:r>
            <w:r w:rsidR="00BE0A70" w:rsidRPr="00502F8C">
              <w:rPr>
                <w:sz w:val="20"/>
                <w:szCs w:val="20"/>
              </w:rPr>
              <w:t>data matching</w:t>
            </w:r>
            <w:r w:rsidRPr="00502F8C">
              <w:rPr>
                <w:sz w:val="20"/>
                <w:szCs w:val="20"/>
              </w:rPr>
              <w:t xml:space="preserve"> exercise to identify the misuse of Council social housing units</w:t>
            </w:r>
          </w:p>
          <w:p w14:paraId="6A8B93DB" w14:textId="77777777" w:rsidR="00D651F0" w:rsidRPr="00502F8C" w:rsidRDefault="00D651F0" w:rsidP="002964DF">
            <w:pPr>
              <w:ind w:left="720"/>
              <w:rPr>
                <w:sz w:val="20"/>
                <w:szCs w:val="20"/>
              </w:rPr>
            </w:pPr>
          </w:p>
        </w:tc>
      </w:tr>
      <w:tr w:rsidR="00D651F0" w:rsidRPr="005F0B23" w14:paraId="50FD9B46"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5A258125" w14:textId="079FCB53" w:rsidR="00D651F0" w:rsidRPr="005F0B23" w:rsidRDefault="00D651F0" w:rsidP="00F964DC">
            <w:pPr>
              <w:rPr>
                <w:sz w:val="20"/>
                <w:szCs w:val="20"/>
              </w:rPr>
            </w:pPr>
            <w:r>
              <w:rPr>
                <w:sz w:val="20"/>
                <w:szCs w:val="20"/>
              </w:rPr>
              <w:lastRenderedPageBreak/>
              <w:t>1</w:t>
            </w:r>
            <w:r w:rsidR="00091DC9">
              <w:rPr>
                <w:sz w:val="20"/>
                <w:szCs w:val="20"/>
              </w:rPr>
              <w:t>1</w:t>
            </w:r>
            <w:r>
              <w:rPr>
                <w:sz w:val="20"/>
                <w:szCs w:val="20"/>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BD84247" w14:textId="77777777" w:rsidR="00D651F0" w:rsidRPr="00502F8C" w:rsidRDefault="00D651F0" w:rsidP="00F964DC">
            <w:pPr>
              <w:rPr>
                <w:sz w:val="20"/>
                <w:szCs w:val="20"/>
              </w:rPr>
            </w:pPr>
            <w:r w:rsidRPr="00502F8C">
              <w:rPr>
                <w:sz w:val="20"/>
                <w:szCs w:val="20"/>
              </w:rPr>
              <w:t xml:space="preserve"> Social care fraud</w:t>
            </w:r>
          </w:p>
        </w:tc>
        <w:tc>
          <w:tcPr>
            <w:tcW w:w="9072" w:type="dxa"/>
            <w:tcBorders>
              <w:top w:val="single" w:sz="4" w:space="0" w:color="auto"/>
              <w:left w:val="nil"/>
              <w:bottom w:val="single" w:sz="4" w:space="0" w:color="auto"/>
              <w:right w:val="single" w:sz="4" w:space="0" w:color="auto"/>
            </w:tcBorders>
            <w:shd w:val="clear" w:color="auto" w:fill="auto"/>
          </w:tcPr>
          <w:p w14:paraId="0747BF8F" w14:textId="0063C581" w:rsidR="00D651F0" w:rsidRPr="00502F8C" w:rsidRDefault="00D651F0" w:rsidP="001C0E62">
            <w:pPr>
              <w:rPr>
                <w:sz w:val="20"/>
                <w:szCs w:val="20"/>
              </w:rPr>
            </w:pPr>
            <w:r w:rsidRPr="00502F8C">
              <w:rPr>
                <w:sz w:val="20"/>
                <w:szCs w:val="20"/>
              </w:rPr>
              <w:t xml:space="preserve">Work in partnership with the People Directorate to </w:t>
            </w:r>
            <w:r w:rsidR="00502F8C" w:rsidRPr="00502F8C">
              <w:rPr>
                <w:sz w:val="20"/>
                <w:szCs w:val="20"/>
              </w:rPr>
              <w:t>undertake a sample</w:t>
            </w:r>
            <w:r w:rsidRPr="00502F8C">
              <w:rPr>
                <w:sz w:val="20"/>
                <w:szCs w:val="20"/>
              </w:rPr>
              <w:t xml:space="preserve"> </w:t>
            </w:r>
            <w:r w:rsidR="00502F8C" w:rsidRPr="00502F8C">
              <w:rPr>
                <w:sz w:val="20"/>
                <w:szCs w:val="20"/>
              </w:rPr>
              <w:t xml:space="preserve">check </w:t>
            </w:r>
            <w:r w:rsidRPr="00502F8C">
              <w:rPr>
                <w:sz w:val="20"/>
                <w:szCs w:val="20"/>
              </w:rPr>
              <w:t xml:space="preserve">of fraud and abuse of </w:t>
            </w:r>
            <w:r w:rsidR="007A54BD">
              <w:rPr>
                <w:sz w:val="20"/>
                <w:szCs w:val="20"/>
              </w:rPr>
              <w:t>in</w:t>
            </w:r>
            <w:r w:rsidRPr="00502F8C">
              <w:rPr>
                <w:sz w:val="20"/>
                <w:szCs w:val="20"/>
              </w:rPr>
              <w:t xml:space="preserve"> social care system including but not limited to:-</w:t>
            </w:r>
          </w:p>
          <w:p w14:paraId="668C86BF" w14:textId="77777777" w:rsidR="00D651F0" w:rsidRPr="00502F8C" w:rsidRDefault="00D651F0" w:rsidP="001C0E62">
            <w:pPr>
              <w:rPr>
                <w:sz w:val="20"/>
                <w:szCs w:val="20"/>
              </w:rPr>
            </w:pPr>
          </w:p>
          <w:p w14:paraId="381A3743" w14:textId="0B35C009" w:rsidR="00D651F0" w:rsidRPr="00502F8C" w:rsidRDefault="00502F8C" w:rsidP="002C182A">
            <w:pPr>
              <w:pStyle w:val="ListParagraph"/>
              <w:numPr>
                <w:ilvl w:val="0"/>
                <w:numId w:val="6"/>
              </w:numPr>
              <w:rPr>
                <w:sz w:val="20"/>
                <w:szCs w:val="20"/>
              </w:rPr>
            </w:pPr>
            <w:r w:rsidRPr="00502F8C">
              <w:rPr>
                <w:sz w:val="20"/>
                <w:szCs w:val="20"/>
              </w:rPr>
              <w:t xml:space="preserve">A proactive fraud </w:t>
            </w:r>
            <w:r w:rsidR="00BE0A70">
              <w:rPr>
                <w:sz w:val="20"/>
                <w:szCs w:val="20"/>
              </w:rPr>
              <w:t>risk-based</w:t>
            </w:r>
            <w:r>
              <w:rPr>
                <w:sz w:val="20"/>
                <w:szCs w:val="20"/>
              </w:rPr>
              <w:t xml:space="preserve"> exercise</w:t>
            </w:r>
            <w:r w:rsidRPr="00502F8C">
              <w:rPr>
                <w:sz w:val="20"/>
                <w:szCs w:val="20"/>
              </w:rPr>
              <w:t xml:space="preserve"> of p</w:t>
            </w:r>
            <w:r w:rsidR="00D651F0" w:rsidRPr="00502F8C">
              <w:rPr>
                <w:sz w:val="20"/>
                <w:szCs w:val="20"/>
              </w:rPr>
              <w:t>ersonal budgets applications, assessment and monitoring of spend</w:t>
            </w:r>
            <w:r w:rsidR="00AE1E35">
              <w:rPr>
                <w:sz w:val="20"/>
                <w:szCs w:val="20"/>
              </w:rPr>
              <w:t xml:space="preserve"> </w:t>
            </w:r>
            <w:r w:rsidR="004335D6">
              <w:rPr>
                <w:sz w:val="20"/>
                <w:szCs w:val="20"/>
              </w:rPr>
              <w:t>and/</w:t>
            </w:r>
            <w:r w:rsidR="00AE1E35">
              <w:rPr>
                <w:sz w:val="20"/>
                <w:szCs w:val="20"/>
              </w:rPr>
              <w:t>or</w:t>
            </w:r>
          </w:p>
          <w:p w14:paraId="60C6D211" w14:textId="77777777" w:rsidR="00D651F0" w:rsidRPr="00502F8C" w:rsidRDefault="00D651F0" w:rsidP="002C182A">
            <w:pPr>
              <w:pStyle w:val="ListParagraph"/>
              <w:rPr>
                <w:sz w:val="20"/>
                <w:szCs w:val="20"/>
              </w:rPr>
            </w:pPr>
            <w:r w:rsidRPr="00502F8C">
              <w:rPr>
                <w:sz w:val="20"/>
                <w:szCs w:val="20"/>
              </w:rPr>
              <w:t xml:space="preserve"> </w:t>
            </w:r>
          </w:p>
          <w:p w14:paraId="4675B004" w14:textId="418C66B9" w:rsidR="00D651F0" w:rsidRPr="00502F8C" w:rsidRDefault="00D651F0" w:rsidP="00982DC2">
            <w:pPr>
              <w:pStyle w:val="ListParagraph"/>
              <w:numPr>
                <w:ilvl w:val="0"/>
                <w:numId w:val="6"/>
              </w:numPr>
              <w:rPr>
                <w:sz w:val="20"/>
                <w:szCs w:val="20"/>
              </w:rPr>
            </w:pPr>
            <w:r w:rsidRPr="00502F8C">
              <w:rPr>
                <w:sz w:val="20"/>
                <w:szCs w:val="20"/>
              </w:rPr>
              <w:t xml:space="preserve">A proactive fraud </w:t>
            </w:r>
            <w:r w:rsidR="00BE0A70" w:rsidRPr="00502F8C">
              <w:rPr>
                <w:sz w:val="20"/>
                <w:szCs w:val="20"/>
              </w:rPr>
              <w:t>risk-based</w:t>
            </w:r>
            <w:r w:rsidRPr="00502F8C">
              <w:rPr>
                <w:sz w:val="20"/>
                <w:szCs w:val="20"/>
              </w:rPr>
              <w:t xml:space="preserve"> exercise in relation to those individuals being financially supported in long term residential care </w:t>
            </w:r>
          </w:p>
          <w:p w14:paraId="2BEE5B20" w14:textId="77777777" w:rsidR="00D651F0" w:rsidRPr="00502F8C" w:rsidRDefault="00D651F0" w:rsidP="00F964DC">
            <w:pPr>
              <w:rPr>
                <w:sz w:val="20"/>
                <w:szCs w:val="20"/>
                <w:lang w:val="en-US"/>
              </w:rPr>
            </w:pPr>
          </w:p>
        </w:tc>
      </w:tr>
      <w:tr w:rsidR="00D651F0" w:rsidRPr="005F0B23" w14:paraId="50DFC677"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2C3A9F3A" w14:textId="19272827" w:rsidR="00D651F0" w:rsidRDefault="00615436" w:rsidP="00F964DC">
            <w:pPr>
              <w:rPr>
                <w:sz w:val="20"/>
                <w:szCs w:val="20"/>
              </w:rPr>
            </w:pPr>
            <w:r>
              <w:rPr>
                <w:sz w:val="20"/>
                <w:szCs w:val="20"/>
              </w:rPr>
              <w:t>1</w:t>
            </w:r>
            <w:r w:rsidR="00091DC9">
              <w:rPr>
                <w:sz w:val="20"/>
                <w:szCs w:val="20"/>
              </w:rPr>
              <w:t>2</w:t>
            </w:r>
            <w:r>
              <w:rPr>
                <w:sz w:val="20"/>
                <w:szCs w:val="20"/>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38AF7A0" w14:textId="77777777" w:rsidR="00EE7066" w:rsidRDefault="00F6463B" w:rsidP="00F964DC">
            <w:pPr>
              <w:rPr>
                <w:sz w:val="20"/>
                <w:szCs w:val="20"/>
              </w:rPr>
            </w:pPr>
            <w:r>
              <w:rPr>
                <w:sz w:val="20"/>
                <w:szCs w:val="20"/>
              </w:rPr>
              <w:t xml:space="preserve">Risk assess allegations of </w:t>
            </w:r>
            <w:r w:rsidR="00EE7066">
              <w:rPr>
                <w:sz w:val="20"/>
                <w:szCs w:val="20"/>
              </w:rPr>
              <w:t>internal fraud and corruption</w:t>
            </w:r>
          </w:p>
          <w:p w14:paraId="5FFB42E5" w14:textId="1B0D97F3" w:rsidR="00D651F0" w:rsidRPr="00F6463B" w:rsidRDefault="00F6463B" w:rsidP="00F964DC">
            <w:pPr>
              <w:rPr>
                <w:sz w:val="20"/>
                <w:szCs w:val="20"/>
              </w:rPr>
            </w:pPr>
            <w:r>
              <w:rPr>
                <w:sz w:val="20"/>
                <w:szCs w:val="20"/>
              </w:rPr>
              <w:t xml:space="preserve"> </w:t>
            </w:r>
          </w:p>
        </w:tc>
        <w:tc>
          <w:tcPr>
            <w:tcW w:w="9072" w:type="dxa"/>
            <w:tcBorders>
              <w:top w:val="single" w:sz="4" w:space="0" w:color="auto"/>
              <w:left w:val="nil"/>
              <w:bottom w:val="single" w:sz="4" w:space="0" w:color="auto"/>
              <w:right w:val="single" w:sz="4" w:space="0" w:color="auto"/>
            </w:tcBorders>
            <w:shd w:val="clear" w:color="auto" w:fill="auto"/>
          </w:tcPr>
          <w:p w14:paraId="0E772521" w14:textId="1A24B44A" w:rsidR="00EE7066" w:rsidRPr="00502F8C" w:rsidRDefault="00EE7066" w:rsidP="00EE7066">
            <w:pPr>
              <w:rPr>
                <w:sz w:val="20"/>
                <w:szCs w:val="20"/>
                <w:lang w:val="en-US"/>
              </w:rPr>
            </w:pPr>
            <w:r w:rsidRPr="00502F8C">
              <w:rPr>
                <w:sz w:val="20"/>
                <w:szCs w:val="20"/>
                <w:lang w:val="en-US"/>
              </w:rPr>
              <w:t xml:space="preserve">Risk assess 85% of allegations of fraud and corruption and deploy resources on those cases deemed sufficiently high enough fraud risk within an average of </w:t>
            </w:r>
            <w:r>
              <w:rPr>
                <w:sz w:val="20"/>
                <w:szCs w:val="20"/>
                <w:lang w:val="en-US"/>
              </w:rPr>
              <w:t>5</w:t>
            </w:r>
            <w:r w:rsidRPr="00502F8C">
              <w:rPr>
                <w:sz w:val="20"/>
                <w:szCs w:val="20"/>
                <w:lang w:val="en-US"/>
              </w:rPr>
              <w:t xml:space="preserve"> working days of receipt of the information (KPI</w:t>
            </w:r>
            <w:r w:rsidR="00615436">
              <w:rPr>
                <w:sz w:val="20"/>
                <w:szCs w:val="20"/>
                <w:lang w:val="en-US"/>
              </w:rPr>
              <w:t>3</w:t>
            </w:r>
            <w:r w:rsidRPr="00502F8C">
              <w:rPr>
                <w:sz w:val="20"/>
                <w:szCs w:val="20"/>
                <w:lang w:val="en-US"/>
              </w:rPr>
              <w:t>)</w:t>
            </w:r>
          </w:p>
          <w:p w14:paraId="492CBB58" w14:textId="7C816165" w:rsidR="00D651F0" w:rsidRPr="004C62EC" w:rsidRDefault="00D651F0" w:rsidP="00F964DC">
            <w:pPr>
              <w:rPr>
                <w:strike/>
                <w:sz w:val="20"/>
                <w:szCs w:val="20"/>
              </w:rPr>
            </w:pPr>
          </w:p>
        </w:tc>
      </w:tr>
      <w:tr w:rsidR="00D651F0" w:rsidRPr="005F0B23" w14:paraId="113A6E24" w14:textId="77777777" w:rsidTr="002107B8">
        <w:trPr>
          <w:trHeight w:val="251"/>
        </w:trPr>
        <w:tc>
          <w:tcPr>
            <w:tcW w:w="495" w:type="dxa"/>
            <w:tcBorders>
              <w:top w:val="single" w:sz="4" w:space="0" w:color="auto"/>
              <w:left w:val="single" w:sz="4" w:space="0" w:color="auto"/>
              <w:bottom w:val="single" w:sz="4" w:space="0" w:color="auto"/>
              <w:right w:val="single" w:sz="4" w:space="0" w:color="auto"/>
            </w:tcBorders>
          </w:tcPr>
          <w:p w14:paraId="33CD9D4C" w14:textId="35932708" w:rsidR="00D651F0" w:rsidRDefault="00D651F0" w:rsidP="00F964DC">
            <w:pPr>
              <w:rPr>
                <w:sz w:val="20"/>
                <w:szCs w:val="20"/>
              </w:rPr>
            </w:pPr>
            <w:r>
              <w:rPr>
                <w:sz w:val="20"/>
                <w:szCs w:val="20"/>
              </w:rPr>
              <w:t>1</w:t>
            </w:r>
            <w:r w:rsidR="00091DC9">
              <w:rPr>
                <w:sz w:val="20"/>
                <w:szCs w:val="20"/>
              </w:rPr>
              <w:t>3</w:t>
            </w:r>
            <w:r>
              <w:rPr>
                <w:sz w:val="20"/>
                <w:szCs w:val="20"/>
              </w:rPr>
              <w:t>.</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2182CD2" w14:textId="77777777" w:rsidR="00D651F0" w:rsidRPr="00502F8C" w:rsidRDefault="00D651F0" w:rsidP="00F964DC">
            <w:pPr>
              <w:rPr>
                <w:sz w:val="20"/>
                <w:szCs w:val="20"/>
              </w:rPr>
            </w:pPr>
            <w:r w:rsidRPr="00502F8C">
              <w:rPr>
                <w:sz w:val="20"/>
                <w:szCs w:val="20"/>
              </w:rPr>
              <w:t>Risk assess allegations of fraud and corruption</w:t>
            </w:r>
          </w:p>
          <w:p w14:paraId="247C67AE" w14:textId="77777777" w:rsidR="00D651F0" w:rsidRPr="00502F8C" w:rsidRDefault="00D651F0" w:rsidP="00F964DC">
            <w:pPr>
              <w:rPr>
                <w:sz w:val="20"/>
                <w:szCs w:val="20"/>
              </w:rPr>
            </w:pPr>
          </w:p>
          <w:p w14:paraId="53A24D8F" w14:textId="77777777" w:rsidR="00D651F0" w:rsidRPr="00502F8C" w:rsidRDefault="00D651F0" w:rsidP="00F964DC">
            <w:pPr>
              <w:rPr>
                <w:sz w:val="20"/>
                <w:szCs w:val="20"/>
              </w:rPr>
            </w:pPr>
          </w:p>
        </w:tc>
        <w:tc>
          <w:tcPr>
            <w:tcW w:w="9072" w:type="dxa"/>
            <w:tcBorders>
              <w:top w:val="single" w:sz="4" w:space="0" w:color="auto"/>
              <w:left w:val="nil"/>
              <w:bottom w:val="single" w:sz="4" w:space="0" w:color="auto"/>
              <w:right w:val="single" w:sz="4" w:space="0" w:color="auto"/>
            </w:tcBorders>
            <w:shd w:val="clear" w:color="auto" w:fill="auto"/>
          </w:tcPr>
          <w:p w14:paraId="7F7E5F62" w14:textId="4BC719B9" w:rsidR="00D651F0" w:rsidRPr="00502F8C" w:rsidRDefault="00D651F0" w:rsidP="00F964DC">
            <w:pPr>
              <w:rPr>
                <w:sz w:val="20"/>
                <w:szCs w:val="20"/>
                <w:lang w:val="en-US"/>
              </w:rPr>
            </w:pPr>
            <w:r w:rsidRPr="00502F8C">
              <w:rPr>
                <w:sz w:val="20"/>
                <w:szCs w:val="20"/>
                <w:lang w:val="en-US"/>
              </w:rPr>
              <w:t>Risk assess 8</w:t>
            </w:r>
            <w:r w:rsidR="00982DC2" w:rsidRPr="00502F8C">
              <w:rPr>
                <w:sz w:val="20"/>
                <w:szCs w:val="20"/>
                <w:lang w:val="en-US"/>
              </w:rPr>
              <w:t>5</w:t>
            </w:r>
            <w:r w:rsidRPr="00502F8C">
              <w:rPr>
                <w:sz w:val="20"/>
                <w:szCs w:val="20"/>
                <w:lang w:val="en-US"/>
              </w:rPr>
              <w:t>% of allegations of fraud and corruption and deploy resources on those cases deemed sufficiently high enough fraud risk within an average of 10 working days of receipt of the information (KPI4)</w:t>
            </w:r>
          </w:p>
          <w:p w14:paraId="2E1E3F78" w14:textId="77777777" w:rsidR="00D651F0" w:rsidRPr="00502F8C" w:rsidRDefault="00D651F0" w:rsidP="00F964DC">
            <w:pPr>
              <w:rPr>
                <w:sz w:val="20"/>
                <w:szCs w:val="20"/>
              </w:rPr>
            </w:pPr>
          </w:p>
        </w:tc>
      </w:tr>
    </w:tbl>
    <w:p w14:paraId="09A01BE5" w14:textId="77777777" w:rsidR="00725DF5" w:rsidRDefault="00725DF5" w:rsidP="00725DF5">
      <w:pPr>
        <w:rPr>
          <w:b/>
          <w:sz w:val="20"/>
          <w:szCs w:val="20"/>
        </w:rPr>
      </w:pPr>
    </w:p>
    <w:p w14:paraId="5E5AD83C" w14:textId="3032A4FA" w:rsidR="00725DF5" w:rsidRDefault="00725DF5" w:rsidP="00725DF5"/>
    <w:p w14:paraId="5E2670E7" w14:textId="14838D5F" w:rsidR="00725DF5" w:rsidRDefault="00725DF5" w:rsidP="00725DF5"/>
    <w:p w14:paraId="15D3277E" w14:textId="609EC62B" w:rsidR="00D13162" w:rsidRDefault="00D13162" w:rsidP="00725DF5"/>
    <w:p w14:paraId="46253EB4" w14:textId="1DE36C7D" w:rsidR="00D13162" w:rsidRDefault="00D13162" w:rsidP="00725DF5"/>
    <w:p w14:paraId="38C5BCDF" w14:textId="14EB791A" w:rsidR="00D13162" w:rsidRDefault="00D13162" w:rsidP="00725DF5"/>
    <w:p w14:paraId="21050C2F" w14:textId="77777777" w:rsidR="006B0EEB" w:rsidRDefault="006B0EEB" w:rsidP="00725DF5"/>
    <w:p w14:paraId="7C820BCD" w14:textId="77777777" w:rsidR="006B0EEB" w:rsidRDefault="006B0EEB" w:rsidP="00725DF5"/>
    <w:p w14:paraId="289195DD" w14:textId="77777777" w:rsidR="00D13162" w:rsidRDefault="00D13162" w:rsidP="00725DF5"/>
    <w:p w14:paraId="03C63878" w14:textId="77777777" w:rsidR="00725DF5" w:rsidRDefault="00725DF5" w:rsidP="00725DF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475"/>
        <w:gridCol w:w="1843"/>
      </w:tblGrid>
      <w:tr w:rsidR="00725DF5" w14:paraId="39F183E5" w14:textId="77777777" w:rsidTr="00F964DC">
        <w:tc>
          <w:tcPr>
            <w:tcW w:w="674" w:type="dxa"/>
            <w:shd w:val="clear" w:color="auto" w:fill="BFBFBF" w:themeFill="background1" w:themeFillShade="BF"/>
          </w:tcPr>
          <w:p w14:paraId="6671124F" w14:textId="77777777" w:rsidR="00725DF5" w:rsidRPr="00D62D67" w:rsidRDefault="00725DF5" w:rsidP="00F964DC">
            <w:pPr>
              <w:rPr>
                <w:b/>
              </w:rPr>
            </w:pPr>
            <w:r w:rsidRPr="00D62D67">
              <w:rPr>
                <w:b/>
              </w:rPr>
              <w:t>No.</w:t>
            </w:r>
          </w:p>
        </w:tc>
        <w:tc>
          <w:tcPr>
            <w:tcW w:w="12475" w:type="dxa"/>
            <w:shd w:val="clear" w:color="auto" w:fill="BFBFBF" w:themeFill="background1" w:themeFillShade="BF"/>
          </w:tcPr>
          <w:p w14:paraId="1AD83BD1" w14:textId="51A49005" w:rsidR="00725DF5" w:rsidRDefault="00725DF5" w:rsidP="00F964DC">
            <w:pPr>
              <w:rPr>
                <w:b/>
              </w:rPr>
            </w:pPr>
            <w:r>
              <w:rPr>
                <w:b/>
              </w:rPr>
              <w:t>CAFT</w:t>
            </w:r>
            <w:r w:rsidR="009915B9">
              <w:rPr>
                <w:b/>
              </w:rPr>
              <w:t xml:space="preserve"> Key Performance Indicators 20</w:t>
            </w:r>
            <w:r w:rsidR="006174AD">
              <w:rPr>
                <w:b/>
              </w:rPr>
              <w:t>2</w:t>
            </w:r>
            <w:r w:rsidR="00F57AA5">
              <w:rPr>
                <w:b/>
              </w:rPr>
              <w:t>3</w:t>
            </w:r>
            <w:r w:rsidR="009915B9">
              <w:rPr>
                <w:b/>
              </w:rPr>
              <w:t>/2</w:t>
            </w:r>
            <w:r w:rsidR="00F57AA5">
              <w:rPr>
                <w:b/>
              </w:rPr>
              <w:t>4</w:t>
            </w:r>
          </w:p>
          <w:p w14:paraId="747B6F9A" w14:textId="77777777" w:rsidR="00725DF5" w:rsidRPr="00D62D67" w:rsidRDefault="00725DF5" w:rsidP="00F964DC">
            <w:pPr>
              <w:rPr>
                <w:b/>
              </w:rPr>
            </w:pPr>
          </w:p>
        </w:tc>
        <w:tc>
          <w:tcPr>
            <w:tcW w:w="1843" w:type="dxa"/>
            <w:shd w:val="clear" w:color="auto" w:fill="BFBFBF" w:themeFill="background1" w:themeFillShade="BF"/>
          </w:tcPr>
          <w:p w14:paraId="3E756D5E" w14:textId="77777777" w:rsidR="00725DF5" w:rsidRPr="00D62D67" w:rsidRDefault="00725DF5" w:rsidP="00F964DC">
            <w:pPr>
              <w:rPr>
                <w:b/>
              </w:rPr>
            </w:pPr>
            <w:r>
              <w:rPr>
                <w:b/>
              </w:rPr>
              <w:t>Target</w:t>
            </w:r>
          </w:p>
        </w:tc>
      </w:tr>
      <w:tr w:rsidR="00725DF5" w14:paraId="0216F2BD" w14:textId="77777777" w:rsidTr="00F964DC">
        <w:tc>
          <w:tcPr>
            <w:tcW w:w="674" w:type="dxa"/>
            <w:shd w:val="clear" w:color="auto" w:fill="auto"/>
          </w:tcPr>
          <w:p w14:paraId="015DAC61" w14:textId="77777777" w:rsidR="00725DF5" w:rsidRDefault="00725DF5" w:rsidP="00F964DC">
            <w:r>
              <w:t>1.</w:t>
            </w:r>
          </w:p>
        </w:tc>
        <w:tc>
          <w:tcPr>
            <w:tcW w:w="12475" w:type="dxa"/>
            <w:shd w:val="clear" w:color="auto" w:fill="auto"/>
          </w:tcPr>
          <w:p w14:paraId="42708B65" w14:textId="7DFDF06E" w:rsidR="00725DF5" w:rsidRPr="006174AD" w:rsidRDefault="006174AD" w:rsidP="00F964DC">
            <w:r w:rsidRPr="006174AD">
              <w:t>Seek to recover a combined total of 1</w:t>
            </w:r>
            <w:r w:rsidR="00F57AA5">
              <w:t>1</w:t>
            </w:r>
            <w:r w:rsidRPr="006174AD">
              <w:t xml:space="preserve"> Council social housing units and disrupt/intercept fraudulent Right to Buy applications</w:t>
            </w:r>
          </w:p>
          <w:p w14:paraId="0F2C42C2" w14:textId="562772EB" w:rsidR="006174AD" w:rsidRPr="006174AD" w:rsidRDefault="006174AD" w:rsidP="00F964DC"/>
        </w:tc>
        <w:tc>
          <w:tcPr>
            <w:tcW w:w="1843" w:type="dxa"/>
            <w:shd w:val="clear" w:color="auto" w:fill="auto"/>
          </w:tcPr>
          <w:p w14:paraId="3009C6A8" w14:textId="77777777" w:rsidR="00725DF5" w:rsidRDefault="00725DF5" w:rsidP="00F964DC">
            <w:r>
              <w:t>100%</w:t>
            </w:r>
          </w:p>
        </w:tc>
      </w:tr>
      <w:tr w:rsidR="00725DF5" w14:paraId="4B81001A" w14:textId="77777777" w:rsidTr="00F964DC">
        <w:trPr>
          <w:trHeight w:val="718"/>
        </w:trPr>
        <w:tc>
          <w:tcPr>
            <w:tcW w:w="674" w:type="dxa"/>
            <w:shd w:val="clear" w:color="auto" w:fill="auto"/>
          </w:tcPr>
          <w:p w14:paraId="456AF45F" w14:textId="77777777" w:rsidR="00725DF5" w:rsidRDefault="00C8689D" w:rsidP="00F964DC">
            <w:r>
              <w:t>2</w:t>
            </w:r>
            <w:r w:rsidR="00725DF5">
              <w:t>.</w:t>
            </w:r>
          </w:p>
        </w:tc>
        <w:tc>
          <w:tcPr>
            <w:tcW w:w="12475" w:type="dxa"/>
            <w:shd w:val="clear" w:color="auto" w:fill="auto"/>
          </w:tcPr>
          <w:p w14:paraId="332DA915" w14:textId="4C816D66" w:rsidR="00725DF5" w:rsidRDefault="0001692A" w:rsidP="00F964DC">
            <w:r>
              <w:t>F</w:t>
            </w:r>
            <w:r w:rsidR="00725DF5">
              <w:t xml:space="preserve">raud validation checks </w:t>
            </w:r>
            <w:r w:rsidR="007547E0">
              <w:t>commenced</w:t>
            </w:r>
            <w:r w:rsidR="00725DF5">
              <w:t xml:space="preserve"> on Right to Buy applications</w:t>
            </w:r>
            <w:r w:rsidR="007547E0">
              <w:t xml:space="preserve"> and resources deployed in 10 working days</w:t>
            </w:r>
            <w:r w:rsidR="00321649">
              <w:t xml:space="preserve"> with 100% check before </w:t>
            </w:r>
            <w:r w:rsidR="00E22BDF">
              <w:t xml:space="preserve">purchase </w:t>
            </w:r>
            <w:r w:rsidR="00321649">
              <w:t xml:space="preserve">completion </w:t>
            </w:r>
            <w:r w:rsidR="00725DF5">
              <w:t xml:space="preserve"> </w:t>
            </w:r>
          </w:p>
        </w:tc>
        <w:tc>
          <w:tcPr>
            <w:tcW w:w="1843" w:type="dxa"/>
            <w:shd w:val="clear" w:color="auto" w:fill="auto"/>
          </w:tcPr>
          <w:p w14:paraId="79BC6524" w14:textId="77777777" w:rsidR="00725DF5" w:rsidRDefault="00725DF5" w:rsidP="00F964DC">
            <w:r>
              <w:t>90%</w:t>
            </w:r>
          </w:p>
        </w:tc>
      </w:tr>
      <w:tr w:rsidR="00725DF5" w14:paraId="3B01C289" w14:textId="77777777" w:rsidTr="00F964DC">
        <w:trPr>
          <w:trHeight w:val="477"/>
        </w:trPr>
        <w:tc>
          <w:tcPr>
            <w:tcW w:w="674" w:type="dxa"/>
            <w:shd w:val="clear" w:color="auto" w:fill="auto"/>
          </w:tcPr>
          <w:p w14:paraId="2EEDC02F" w14:textId="77777777" w:rsidR="00725DF5" w:rsidRDefault="00C8689D" w:rsidP="00F964DC">
            <w:r>
              <w:t>3</w:t>
            </w:r>
            <w:r w:rsidR="00725DF5">
              <w:t>.</w:t>
            </w:r>
          </w:p>
        </w:tc>
        <w:tc>
          <w:tcPr>
            <w:tcW w:w="12475" w:type="dxa"/>
            <w:shd w:val="clear" w:color="auto" w:fill="auto"/>
          </w:tcPr>
          <w:p w14:paraId="71F2A3A3" w14:textId="77777777" w:rsidR="00725DF5" w:rsidRDefault="0001692A" w:rsidP="00F964DC">
            <w:r>
              <w:t>I</w:t>
            </w:r>
            <w:r w:rsidR="00725DF5">
              <w:t>nternal fraud and corruption referrals risk assessed and resources deployed in 5 working days</w:t>
            </w:r>
          </w:p>
        </w:tc>
        <w:tc>
          <w:tcPr>
            <w:tcW w:w="1843" w:type="dxa"/>
            <w:shd w:val="clear" w:color="auto" w:fill="auto"/>
          </w:tcPr>
          <w:p w14:paraId="047C98E2" w14:textId="422B1D47" w:rsidR="00725DF5" w:rsidRDefault="00725DF5" w:rsidP="00F964DC">
            <w:r>
              <w:t>8</w:t>
            </w:r>
            <w:r w:rsidR="00E74748">
              <w:t>5</w:t>
            </w:r>
            <w:r>
              <w:t>%</w:t>
            </w:r>
          </w:p>
        </w:tc>
      </w:tr>
      <w:tr w:rsidR="00725DF5" w14:paraId="4F17B1D0" w14:textId="77777777" w:rsidTr="00F964DC">
        <w:trPr>
          <w:trHeight w:val="541"/>
        </w:trPr>
        <w:tc>
          <w:tcPr>
            <w:tcW w:w="674" w:type="dxa"/>
            <w:shd w:val="clear" w:color="auto" w:fill="auto"/>
          </w:tcPr>
          <w:p w14:paraId="4D90D098" w14:textId="77777777" w:rsidR="00725DF5" w:rsidRDefault="00C8689D" w:rsidP="00F964DC">
            <w:r>
              <w:t>4</w:t>
            </w:r>
            <w:r w:rsidR="00725DF5">
              <w:t>.</w:t>
            </w:r>
          </w:p>
        </w:tc>
        <w:tc>
          <w:tcPr>
            <w:tcW w:w="12475" w:type="dxa"/>
            <w:shd w:val="clear" w:color="auto" w:fill="auto"/>
          </w:tcPr>
          <w:p w14:paraId="479F345B" w14:textId="77777777" w:rsidR="00725DF5" w:rsidRDefault="0001692A" w:rsidP="00F964DC">
            <w:r>
              <w:t>F</w:t>
            </w:r>
            <w:r w:rsidR="00725DF5">
              <w:t>raud and corruption referrals risk assessed and resources deployed in 10 working days</w:t>
            </w:r>
          </w:p>
          <w:p w14:paraId="41A8586E" w14:textId="77777777" w:rsidR="00725DF5" w:rsidRDefault="00725DF5" w:rsidP="00F964DC"/>
        </w:tc>
        <w:tc>
          <w:tcPr>
            <w:tcW w:w="1843" w:type="dxa"/>
            <w:shd w:val="clear" w:color="auto" w:fill="auto"/>
          </w:tcPr>
          <w:p w14:paraId="725557D6" w14:textId="5AB4E411" w:rsidR="00725DF5" w:rsidRDefault="00725DF5" w:rsidP="00F964DC">
            <w:r>
              <w:t>8</w:t>
            </w:r>
            <w:r w:rsidR="00E74748">
              <w:t>5</w:t>
            </w:r>
            <w:r>
              <w:t>%</w:t>
            </w:r>
          </w:p>
        </w:tc>
      </w:tr>
      <w:tr w:rsidR="00E92306" w14:paraId="2F548D41" w14:textId="77777777" w:rsidTr="00F964DC">
        <w:trPr>
          <w:trHeight w:val="541"/>
        </w:trPr>
        <w:tc>
          <w:tcPr>
            <w:tcW w:w="674" w:type="dxa"/>
            <w:shd w:val="clear" w:color="auto" w:fill="auto"/>
          </w:tcPr>
          <w:p w14:paraId="5B0D692E" w14:textId="77777777" w:rsidR="00E92306" w:rsidRDefault="00C8689D" w:rsidP="00F964DC">
            <w:r>
              <w:t>5</w:t>
            </w:r>
            <w:r w:rsidR="00E92306">
              <w:t>.</w:t>
            </w:r>
          </w:p>
        </w:tc>
        <w:tc>
          <w:tcPr>
            <w:tcW w:w="12475" w:type="dxa"/>
            <w:shd w:val="clear" w:color="auto" w:fill="auto"/>
          </w:tcPr>
          <w:p w14:paraId="2C88E3C7" w14:textId="77777777" w:rsidR="00E92306" w:rsidRDefault="0001692A" w:rsidP="005B4771">
            <w:r>
              <w:rPr>
                <w:color w:val="000000"/>
              </w:rPr>
              <w:t>Fraud risk r</w:t>
            </w:r>
            <w:r w:rsidRPr="00FB7AF2">
              <w:rPr>
                <w:color w:val="000000"/>
              </w:rPr>
              <w:t>ecommendations agreed for implementation</w:t>
            </w:r>
            <w:r w:rsidR="00882E5A">
              <w:rPr>
                <w:color w:val="000000"/>
              </w:rPr>
              <w:t xml:space="preserve"> </w:t>
            </w:r>
          </w:p>
        </w:tc>
        <w:tc>
          <w:tcPr>
            <w:tcW w:w="1843" w:type="dxa"/>
            <w:shd w:val="clear" w:color="auto" w:fill="auto"/>
          </w:tcPr>
          <w:p w14:paraId="1A970982" w14:textId="29250177" w:rsidR="00E92306" w:rsidRDefault="007326D6" w:rsidP="00F964DC">
            <w:r>
              <w:t>8</w:t>
            </w:r>
            <w:r w:rsidR="000455D8">
              <w:t>5</w:t>
            </w:r>
            <w:r w:rsidR="00616E43">
              <w:t>%</w:t>
            </w:r>
          </w:p>
        </w:tc>
      </w:tr>
    </w:tbl>
    <w:p w14:paraId="59BBC5F6" w14:textId="77777777" w:rsidR="00725DF5" w:rsidRDefault="00725DF5" w:rsidP="00725DF5"/>
    <w:p w14:paraId="13A655EC" w14:textId="77777777" w:rsidR="00882E5A" w:rsidRDefault="00882E5A" w:rsidP="00725DF5"/>
    <w:p w14:paraId="6F3AF342" w14:textId="77777777" w:rsidR="00C96D61" w:rsidRDefault="00C96D61" w:rsidP="00725DF5"/>
    <w:p w14:paraId="4393117B" w14:textId="77777777" w:rsidR="00C86EE7" w:rsidRDefault="00C86EE7" w:rsidP="00725DF5"/>
    <w:p w14:paraId="7C1261BD" w14:textId="77777777" w:rsidR="00C86EE7" w:rsidRDefault="00C86EE7" w:rsidP="00725DF5"/>
    <w:p w14:paraId="683C897E" w14:textId="77777777" w:rsidR="004A3CAE" w:rsidRDefault="004A3CAE" w:rsidP="00725DF5"/>
    <w:p w14:paraId="75738E19" w14:textId="77777777" w:rsidR="00725DF5" w:rsidRPr="009462E2" w:rsidRDefault="00725DF5" w:rsidP="00725DF5">
      <w:pPr>
        <w:rPr>
          <w:b/>
        </w:rPr>
      </w:pPr>
      <w:r w:rsidRPr="009462E2">
        <w:rPr>
          <w:b/>
        </w:rPr>
        <w:t xml:space="preserve">Justin Phillips </w:t>
      </w:r>
    </w:p>
    <w:p w14:paraId="6D1F416D" w14:textId="38C19785" w:rsidR="00725DF5" w:rsidRPr="009462E2" w:rsidRDefault="00725DF5" w:rsidP="00725DF5">
      <w:pPr>
        <w:rPr>
          <w:b/>
        </w:rPr>
      </w:pPr>
      <w:r w:rsidRPr="009462E2">
        <w:rPr>
          <w:b/>
        </w:rPr>
        <w:t>Service Manager, Corporate Anti-Fraud</w:t>
      </w:r>
      <w:r w:rsidR="00973F7D">
        <w:rPr>
          <w:b/>
        </w:rPr>
        <w:t xml:space="preserve"> Team</w:t>
      </w:r>
    </w:p>
    <w:p w14:paraId="631DE59C" w14:textId="77777777" w:rsidR="00725DF5" w:rsidRPr="009462E2" w:rsidRDefault="00725DF5" w:rsidP="00725DF5">
      <w:pPr>
        <w:rPr>
          <w:b/>
        </w:rPr>
      </w:pPr>
    </w:p>
    <w:p w14:paraId="0CFE8AFC" w14:textId="77777777" w:rsidR="00725DF5" w:rsidRPr="009462E2" w:rsidRDefault="00725DF5" w:rsidP="00725DF5">
      <w:pPr>
        <w:rPr>
          <w:b/>
        </w:rPr>
      </w:pPr>
      <w:r w:rsidRPr="009462E2">
        <w:rPr>
          <w:b/>
        </w:rPr>
        <w:t xml:space="preserve">Susan Dixson </w:t>
      </w:r>
    </w:p>
    <w:p w14:paraId="1C269BF3" w14:textId="30560192" w:rsidR="00725DF5" w:rsidRPr="009462E2" w:rsidRDefault="00725DF5" w:rsidP="00725DF5">
      <w:pPr>
        <w:rPr>
          <w:b/>
        </w:rPr>
      </w:pPr>
      <w:r w:rsidRPr="009462E2">
        <w:rPr>
          <w:b/>
        </w:rPr>
        <w:t>Head of Internal Audit</w:t>
      </w:r>
      <w:r w:rsidR="00973F7D">
        <w:rPr>
          <w:b/>
        </w:rPr>
        <w:t xml:space="preserve"> &amp; Corporate Anti</w:t>
      </w:r>
      <w:r w:rsidR="00F3572C">
        <w:rPr>
          <w:b/>
        </w:rPr>
        <w:t>-</w:t>
      </w:r>
      <w:r w:rsidR="00973F7D">
        <w:rPr>
          <w:b/>
        </w:rPr>
        <w:t>Fraud</w:t>
      </w:r>
    </w:p>
    <w:p w14:paraId="06F7A464" w14:textId="77777777" w:rsidR="00F3572C" w:rsidRDefault="00F3572C" w:rsidP="00F3572C">
      <w:pPr>
        <w:rPr>
          <w:b/>
        </w:rPr>
      </w:pPr>
    </w:p>
    <w:p w14:paraId="05504253" w14:textId="18E38779" w:rsidR="00725DF5" w:rsidRPr="009462E2" w:rsidRDefault="00F3572C" w:rsidP="00F3572C">
      <w:pPr>
        <w:rPr>
          <w:b/>
        </w:rPr>
      </w:pPr>
      <w:r>
        <w:rPr>
          <w:b/>
        </w:rPr>
        <w:t>May 2023</w:t>
      </w:r>
    </w:p>
    <w:p w14:paraId="730D209F" w14:textId="77777777" w:rsidR="007B7BAC" w:rsidRPr="007B7BAC" w:rsidRDefault="007B7BAC"/>
    <w:sectPr w:rsidR="007B7BAC" w:rsidRPr="007B7BAC" w:rsidSect="00F964D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4A59" w14:textId="77777777" w:rsidR="007D43D9" w:rsidRDefault="007D43D9" w:rsidP="00725DF5">
      <w:r>
        <w:separator/>
      </w:r>
    </w:p>
  </w:endnote>
  <w:endnote w:type="continuationSeparator" w:id="0">
    <w:p w14:paraId="62D3987F" w14:textId="77777777" w:rsidR="007D43D9" w:rsidRDefault="007D43D9" w:rsidP="0072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722525"/>
      <w:docPartObj>
        <w:docPartGallery w:val="Page Numbers (Bottom of Page)"/>
        <w:docPartUnique/>
      </w:docPartObj>
    </w:sdtPr>
    <w:sdtEndPr>
      <w:rPr>
        <w:noProof/>
      </w:rPr>
    </w:sdtEndPr>
    <w:sdtContent>
      <w:p w14:paraId="16D780C8" w14:textId="77777777" w:rsidR="00F964DC" w:rsidRDefault="00A75AAF">
        <w:pPr>
          <w:pStyle w:val="Footer"/>
          <w:jc w:val="center"/>
        </w:pPr>
        <w:r>
          <w:fldChar w:fldCharType="begin"/>
        </w:r>
        <w:r>
          <w:instrText xml:space="preserve"> PAGE   \* MERGEFORMAT </w:instrText>
        </w:r>
        <w:r>
          <w:fldChar w:fldCharType="separate"/>
        </w:r>
        <w:r w:rsidR="009B6F25">
          <w:rPr>
            <w:noProof/>
          </w:rPr>
          <w:t>7</w:t>
        </w:r>
        <w:r>
          <w:rPr>
            <w:noProof/>
          </w:rPr>
          <w:fldChar w:fldCharType="end"/>
        </w:r>
      </w:p>
    </w:sdtContent>
  </w:sdt>
  <w:p w14:paraId="64743559" w14:textId="77777777" w:rsidR="00F964DC" w:rsidRDefault="00F9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3E41" w14:textId="77777777" w:rsidR="007D43D9" w:rsidRDefault="007D43D9" w:rsidP="00725DF5">
      <w:r>
        <w:separator/>
      </w:r>
    </w:p>
  </w:footnote>
  <w:footnote w:type="continuationSeparator" w:id="0">
    <w:p w14:paraId="39043E4F" w14:textId="77777777" w:rsidR="007D43D9" w:rsidRDefault="007D43D9" w:rsidP="0072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127" w14:textId="6FBBEC1C" w:rsidR="00F964DC" w:rsidRDefault="00A75AAF" w:rsidP="00F964DC">
    <w:pPr>
      <w:pStyle w:val="Header"/>
      <w:jc w:val="center"/>
      <w:rPr>
        <w:b/>
      </w:rPr>
    </w:pPr>
    <w:r w:rsidRPr="008F59E0">
      <w:rPr>
        <w:b/>
      </w:rPr>
      <w:t>HARROW COUNCIL</w:t>
    </w:r>
    <w:r>
      <w:rPr>
        <w:b/>
      </w:rPr>
      <w:br/>
      <w:t>DRAFT</w:t>
    </w:r>
    <w:r w:rsidR="00825CEE">
      <w:rPr>
        <w:b/>
      </w:rPr>
      <w:t xml:space="preserve"> CORPORATE ANTI-FRAUD PLAN 20</w:t>
    </w:r>
    <w:r w:rsidR="00F53892">
      <w:rPr>
        <w:b/>
      </w:rPr>
      <w:t>2</w:t>
    </w:r>
    <w:r w:rsidR="002D3329">
      <w:rPr>
        <w:b/>
      </w:rPr>
      <w:t>3</w:t>
    </w:r>
    <w:r w:rsidR="00825CEE">
      <w:rPr>
        <w:b/>
      </w:rPr>
      <w:t>/2</w:t>
    </w:r>
    <w:r w:rsidR="002D3329">
      <w:rPr>
        <w:b/>
      </w:rPr>
      <w:t>4</w:t>
    </w:r>
  </w:p>
  <w:p w14:paraId="7F7BF8B6" w14:textId="77777777" w:rsidR="00F964DC" w:rsidRPr="008F59E0" w:rsidRDefault="00F964DC" w:rsidP="00F964D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85B"/>
    <w:multiLevelType w:val="hybridMultilevel"/>
    <w:tmpl w:val="1616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77CF"/>
    <w:multiLevelType w:val="hybridMultilevel"/>
    <w:tmpl w:val="24B8F0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DD31FB"/>
    <w:multiLevelType w:val="hybridMultilevel"/>
    <w:tmpl w:val="E0F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0D55"/>
    <w:multiLevelType w:val="hybridMultilevel"/>
    <w:tmpl w:val="33022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720E4"/>
    <w:multiLevelType w:val="hybridMultilevel"/>
    <w:tmpl w:val="1424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877B6"/>
    <w:multiLevelType w:val="hybridMultilevel"/>
    <w:tmpl w:val="42CCE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E7E42"/>
    <w:multiLevelType w:val="hybridMultilevel"/>
    <w:tmpl w:val="F45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52CCE"/>
    <w:multiLevelType w:val="hybridMultilevel"/>
    <w:tmpl w:val="320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34F35"/>
    <w:multiLevelType w:val="hybridMultilevel"/>
    <w:tmpl w:val="D37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72896"/>
    <w:multiLevelType w:val="hybridMultilevel"/>
    <w:tmpl w:val="6E12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255139">
    <w:abstractNumId w:val="12"/>
  </w:num>
  <w:num w:numId="2" w16cid:durableId="277688164">
    <w:abstractNumId w:val="6"/>
  </w:num>
  <w:num w:numId="3" w16cid:durableId="377632806">
    <w:abstractNumId w:val="11"/>
  </w:num>
  <w:num w:numId="4" w16cid:durableId="1642731491">
    <w:abstractNumId w:val="0"/>
  </w:num>
  <w:num w:numId="5" w16cid:durableId="2003462152">
    <w:abstractNumId w:val="2"/>
  </w:num>
  <w:num w:numId="6" w16cid:durableId="161821416">
    <w:abstractNumId w:val="13"/>
  </w:num>
  <w:num w:numId="7" w16cid:durableId="1899126876">
    <w:abstractNumId w:val="4"/>
  </w:num>
  <w:num w:numId="8" w16cid:durableId="1999727958">
    <w:abstractNumId w:val="7"/>
  </w:num>
  <w:num w:numId="9" w16cid:durableId="2029015149">
    <w:abstractNumId w:val="1"/>
  </w:num>
  <w:num w:numId="10" w16cid:durableId="2112502882">
    <w:abstractNumId w:val="9"/>
  </w:num>
  <w:num w:numId="11" w16cid:durableId="1856650444">
    <w:abstractNumId w:val="8"/>
  </w:num>
  <w:num w:numId="12" w16cid:durableId="983243553">
    <w:abstractNumId w:val="10"/>
  </w:num>
  <w:num w:numId="13" w16cid:durableId="1061101643">
    <w:abstractNumId w:val="5"/>
  </w:num>
  <w:num w:numId="14" w16cid:durableId="1198619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F5"/>
    <w:rsid w:val="00003CF0"/>
    <w:rsid w:val="00005DC3"/>
    <w:rsid w:val="00006B05"/>
    <w:rsid w:val="0001692A"/>
    <w:rsid w:val="000455D8"/>
    <w:rsid w:val="00056D2B"/>
    <w:rsid w:val="00056F6B"/>
    <w:rsid w:val="00084C80"/>
    <w:rsid w:val="00091DC9"/>
    <w:rsid w:val="000A4FE0"/>
    <w:rsid w:val="000B74F0"/>
    <w:rsid w:val="000C102F"/>
    <w:rsid w:val="000D448B"/>
    <w:rsid w:val="000D5D7E"/>
    <w:rsid w:val="000F095C"/>
    <w:rsid w:val="000F1373"/>
    <w:rsid w:val="000F23AE"/>
    <w:rsid w:val="00106BE1"/>
    <w:rsid w:val="00111C03"/>
    <w:rsid w:val="00125C8C"/>
    <w:rsid w:val="001322D5"/>
    <w:rsid w:val="001350EB"/>
    <w:rsid w:val="00141E21"/>
    <w:rsid w:val="00152659"/>
    <w:rsid w:val="00152CFF"/>
    <w:rsid w:val="00186B01"/>
    <w:rsid w:val="001A2364"/>
    <w:rsid w:val="001A77B8"/>
    <w:rsid w:val="001C0E62"/>
    <w:rsid w:val="001D59BF"/>
    <w:rsid w:val="001E338D"/>
    <w:rsid w:val="00210365"/>
    <w:rsid w:val="002107B8"/>
    <w:rsid w:val="00220F82"/>
    <w:rsid w:val="00241315"/>
    <w:rsid w:val="00241452"/>
    <w:rsid w:val="0024146E"/>
    <w:rsid w:val="00247781"/>
    <w:rsid w:val="00267C8A"/>
    <w:rsid w:val="00273183"/>
    <w:rsid w:val="0028286F"/>
    <w:rsid w:val="0029169E"/>
    <w:rsid w:val="002962E4"/>
    <w:rsid w:val="002964DF"/>
    <w:rsid w:val="002A2462"/>
    <w:rsid w:val="002A43CC"/>
    <w:rsid w:val="002C10E3"/>
    <w:rsid w:val="002C182A"/>
    <w:rsid w:val="002C48BE"/>
    <w:rsid w:val="002D0665"/>
    <w:rsid w:val="002D0FB7"/>
    <w:rsid w:val="002D3110"/>
    <w:rsid w:val="002D3329"/>
    <w:rsid w:val="002D5F28"/>
    <w:rsid w:val="003002CC"/>
    <w:rsid w:val="0030573E"/>
    <w:rsid w:val="00313D1C"/>
    <w:rsid w:val="00321649"/>
    <w:rsid w:val="00327B9A"/>
    <w:rsid w:val="0034437C"/>
    <w:rsid w:val="003458C3"/>
    <w:rsid w:val="003524E1"/>
    <w:rsid w:val="00352837"/>
    <w:rsid w:val="003600EA"/>
    <w:rsid w:val="003849BA"/>
    <w:rsid w:val="00390FE0"/>
    <w:rsid w:val="003D2D9B"/>
    <w:rsid w:val="003F7AED"/>
    <w:rsid w:val="00405E20"/>
    <w:rsid w:val="0041475C"/>
    <w:rsid w:val="00421BE9"/>
    <w:rsid w:val="00424EA6"/>
    <w:rsid w:val="00430D11"/>
    <w:rsid w:val="004335D6"/>
    <w:rsid w:val="0043536A"/>
    <w:rsid w:val="004437B4"/>
    <w:rsid w:val="00447830"/>
    <w:rsid w:val="00462292"/>
    <w:rsid w:val="004714DE"/>
    <w:rsid w:val="004A15DE"/>
    <w:rsid w:val="004A3CAE"/>
    <w:rsid w:val="004A6C8D"/>
    <w:rsid w:val="004C2040"/>
    <w:rsid w:val="004C271D"/>
    <w:rsid w:val="004C441F"/>
    <w:rsid w:val="004C461C"/>
    <w:rsid w:val="004C5140"/>
    <w:rsid w:val="004C62EC"/>
    <w:rsid w:val="004E10AF"/>
    <w:rsid w:val="004E5937"/>
    <w:rsid w:val="004F5A22"/>
    <w:rsid w:val="005010F3"/>
    <w:rsid w:val="00502F8C"/>
    <w:rsid w:val="00504FAC"/>
    <w:rsid w:val="00512D99"/>
    <w:rsid w:val="00514261"/>
    <w:rsid w:val="005152B3"/>
    <w:rsid w:val="005335CC"/>
    <w:rsid w:val="005348E9"/>
    <w:rsid w:val="00570A10"/>
    <w:rsid w:val="00572369"/>
    <w:rsid w:val="00576AC0"/>
    <w:rsid w:val="005828B0"/>
    <w:rsid w:val="005A6A24"/>
    <w:rsid w:val="005B3192"/>
    <w:rsid w:val="005B3D50"/>
    <w:rsid w:val="005B4771"/>
    <w:rsid w:val="005C2A20"/>
    <w:rsid w:val="005E1ACE"/>
    <w:rsid w:val="005E3A2C"/>
    <w:rsid w:val="00603A16"/>
    <w:rsid w:val="006100CE"/>
    <w:rsid w:val="00612157"/>
    <w:rsid w:val="00614199"/>
    <w:rsid w:val="00615436"/>
    <w:rsid w:val="00616E43"/>
    <w:rsid w:val="006174AD"/>
    <w:rsid w:val="00647DBE"/>
    <w:rsid w:val="006609E3"/>
    <w:rsid w:val="00674689"/>
    <w:rsid w:val="00685582"/>
    <w:rsid w:val="00685D6E"/>
    <w:rsid w:val="00686F09"/>
    <w:rsid w:val="00690B55"/>
    <w:rsid w:val="006964A1"/>
    <w:rsid w:val="006B0EEB"/>
    <w:rsid w:val="006B2DC0"/>
    <w:rsid w:val="006B50D9"/>
    <w:rsid w:val="006E1E4D"/>
    <w:rsid w:val="006F420E"/>
    <w:rsid w:val="007057A0"/>
    <w:rsid w:val="0071563F"/>
    <w:rsid w:val="00725DF5"/>
    <w:rsid w:val="007326D6"/>
    <w:rsid w:val="007361D6"/>
    <w:rsid w:val="007547E0"/>
    <w:rsid w:val="00754A4D"/>
    <w:rsid w:val="007614EF"/>
    <w:rsid w:val="0076376A"/>
    <w:rsid w:val="00783AA4"/>
    <w:rsid w:val="00784721"/>
    <w:rsid w:val="007A25BE"/>
    <w:rsid w:val="007A54BD"/>
    <w:rsid w:val="007A7490"/>
    <w:rsid w:val="007B27C3"/>
    <w:rsid w:val="007B5983"/>
    <w:rsid w:val="007B7BAC"/>
    <w:rsid w:val="007D0CFD"/>
    <w:rsid w:val="007D43D9"/>
    <w:rsid w:val="007E13D5"/>
    <w:rsid w:val="007E1C4B"/>
    <w:rsid w:val="007F10B1"/>
    <w:rsid w:val="0082025F"/>
    <w:rsid w:val="00824DA8"/>
    <w:rsid w:val="00825CEE"/>
    <w:rsid w:val="00847008"/>
    <w:rsid w:val="0085509C"/>
    <w:rsid w:val="00876C30"/>
    <w:rsid w:val="00881E50"/>
    <w:rsid w:val="00882E5A"/>
    <w:rsid w:val="008A448F"/>
    <w:rsid w:val="008A4DD6"/>
    <w:rsid w:val="008A6AB5"/>
    <w:rsid w:val="008B2A4A"/>
    <w:rsid w:val="008B6B1F"/>
    <w:rsid w:val="008C58C7"/>
    <w:rsid w:val="00932092"/>
    <w:rsid w:val="009517F3"/>
    <w:rsid w:val="00955C08"/>
    <w:rsid w:val="009560B1"/>
    <w:rsid w:val="00973F7D"/>
    <w:rsid w:val="00982DC2"/>
    <w:rsid w:val="009915B9"/>
    <w:rsid w:val="009A6D5F"/>
    <w:rsid w:val="009B03E4"/>
    <w:rsid w:val="009B6F25"/>
    <w:rsid w:val="009C3B87"/>
    <w:rsid w:val="009D16C9"/>
    <w:rsid w:val="009D2879"/>
    <w:rsid w:val="009D48BF"/>
    <w:rsid w:val="00A10445"/>
    <w:rsid w:val="00A21F53"/>
    <w:rsid w:val="00A22EA4"/>
    <w:rsid w:val="00A5766F"/>
    <w:rsid w:val="00A709C9"/>
    <w:rsid w:val="00A75AAF"/>
    <w:rsid w:val="00A87B49"/>
    <w:rsid w:val="00AA205F"/>
    <w:rsid w:val="00AA3D2B"/>
    <w:rsid w:val="00AA764A"/>
    <w:rsid w:val="00AB2FE3"/>
    <w:rsid w:val="00AB333D"/>
    <w:rsid w:val="00AC20F2"/>
    <w:rsid w:val="00AD6510"/>
    <w:rsid w:val="00AE1E35"/>
    <w:rsid w:val="00AE4BB8"/>
    <w:rsid w:val="00AF094C"/>
    <w:rsid w:val="00AF2885"/>
    <w:rsid w:val="00AF746B"/>
    <w:rsid w:val="00B1351F"/>
    <w:rsid w:val="00B2393C"/>
    <w:rsid w:val="00B275E5"/>
    <w:rsid w:val="00B46004"/>
    <w:rsid w:val="00B46A5D"/>
    <w:rsid w:val="00B73AEF"/>
    <w:rsid w:val="00B7764A"/>
    <w:rsid w:val="00B900F1"/>
    <w:rsid w:val="00B935A1"/>
    <w:rsid w:val="00B94CA7"/>
    <w:rsid w:val="00BA6FFD"/>
    <w:rsid w:val="00BA7C89"/>
    <w:rsid w:val="00BD4A43"/>
    <w:rsid w:val="00BE0A70"/>
    <w:rsid w:val="00BE0E71"/>
    <w:rsid w:val="00BF5288"/>
    <w:rsid w:val="00C018A6"/>
    <w:rsid w:val="00C100AE"/>
    <w:rsid w:val="00C1647F"/>
    <w:rsid w:val="00C23DF1"/>
    <w:rsid w:val="00C2618A"/>
    <w:rsid w:val="00C40C03"/>
    <w:rsid w:val="00C63FAF"/>
    <w:rsid w:val="00C74013"/>
    <w:rsid w:val="00C85009"/>
    <w:rsid w:val="00C8689D"/>
    <w:rsid w:val="00C86EE7"/>
    <w:rsid w:val="00C91BF9"/>
    <w:rsid w:val="00C96D61"/>
    <w:rsid w:val="00C96DAC"/>
    <w:rsid w:val="00CA72C8"/>
    <w:rsid w:val="00CB06C2"/>
    <w:rsid w:val="00CC5CBE"/>
    <w:rsid w:val="00CD4D41"/>
    <w:rsid w:val="00CF05F3"/>
    <w:rsid w:val="00CF11CD"/>
    <w:rsid w:val="00CF4AD8"/>
    <w:rsid w:val="00D13162"/>
    <w:rsid w:val="00D16340"/>
    <w:rsid w:val="00D3180A"/>
    <w:rsid w:val="00D34CB8"/>
    <w:rsid w:val="00D5735C"/>
    <w:rsid w:val="00D62D75"/>
    <w:rsid w:val="00D651F0"/>
    <w:rsid w:val="00D720EA"/>
    <w:rsid w:val="00DB4B9D"/>
    <w:rsid w:val="00DC0923"/>
    <w:rsid w:val="00DE50B7"/>
    <w:rsid w:val="00DE7E2F"/>
    <w:rsid w:val="00DF3704"/>
    <w:rsid w:val="00DF5E7D"/>
    <w:rsid w:val="00E059F5"/>
    <w:rsid w:val="00E07FA0"/>
    <w:rsid w:val="00E22BDF"/>
    <w:rsid w:val="00E338FE"/>
    <w:rsid w:val="00E40B76"/>
    <w:rsid w:val="00E64188"/>
    <w:rsid w:val="00E74748"/>
    <w:rsid w:val="00E808D2"/>
    <w:rsid w:val="00E92306"/>
    <w:rsid w:val="00EA0D3C"/>
    <w:rsid w:val="00EA1967"/>
    <w:rsid w:val="00EB0F46"/>
    <w:rsid w:val="00EB3A2C"/>
    <w:rsid w:val="00EB7F28"/>
    <w:rsid w:val="00EE7066"/>
    <w:rsid w:val="00EF5CD4"/>
    <w:rsid w:val="00F00679"/>
    <w:rsid w:val="00F06288"/>
    <w:rsid w:val="00F22960"/>
    <w:rsid w:val="00F22CBE"/>
    <w:rsid w:val="00F3572C"/>
    <w:rsid w:val="00F45CDF"/>
    <w:rsid w:val="00F53073"/>
    <w:rsid w:val="00F53892"/>
    <w:rsid w:val="00F552C6"/>
    <w:rsid w:val="00F57AA5"/>
    <w:rsid w:val="00F6463B"/>
    <w:rsid w:val="00F964DC"/>
    <w:rsid w:val="00FB3B69"/>
    <w:rsid w:val="00FB7961"/>
    <w:rsid w:val="00FC05E3"/>
    <w:rsid w:val="00FC57CB"/>
    <w:rsid w:val="00FE5749"/>
    <w:rsid w:val="00FF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4A91"/>
  <w15:docId w15:val="{8844755D-E788-48A0-9D7D-E6681FDA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F5"/>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DF5"/>
    <w:pPr>
      <w:tabs>
        <w:tab w:val="center" w:pos="4513"/>
        <w:tab w:val="right" w:pos="9026"/>
      </w:tabs>
    </w:pPr>
  </w:style>
  <w:style w:type="character" w:customStyle="1" w:styleId="HeaderChar">
    <w:name w:val="Header Char"/>
    <w:basedOn w:val="DefaultParagraphFont"/>
    <w:link w:val="Header"/>
    <w:uiPriority w:val="99"/>
    <w:rsid w:val="00725DF5"/>
    <w:rPr>
      <w:rFonts w:ascii="Arial" w:eastAsia="Times New Roman" w:hAnsi="Arial" w:cs="Arial"/>
      <w:sz w:val="24"/>
      <w:szCs w:val="24"/>
      <w:lang w:eastAsia="en-US"/>
    </w:rPr>
  </w:style>
  <w:style w:type="paragraph" w:styleId="Footer">
    <w:name w:val="footer"/>
    <w:basedOn w:val="Normal"/>
    <w:link w:val="FooterChar"/>
    <w:uiPriority w:val="99"/>
    <w:unhideWhenUsed/>
    <w:rsid w:val="00725DF5"/>
    <w:pPr>
      <w:tabs>
        <w:tab w:val="center" w:pos="4513"/>
        <w:tab w:val="right" w:pos="9026"/>
      </w:tabs>
    </w:pPr>
  </w:style>
  <w:style w:type="character" w:customStyle="1" w:styleId="FooterChar">
    <w:name w:val="Footer Char"/>
    <w:basedOn w:val="DefaultParagraphFont"/>
    <w:link w:val="Footer"/>
    <w:uiPriority w:val="99"/>
    <w:rsid w:val="00725DF5"/>
    <w:rPr>
      <w:rFonts w:ascii="Arial" w:eastAsia="Times New Roman" w:hAnsi="Arial" w:cs="Arial"/>
      <w:sz w:val="24"/>
      <w:szCs w:val="24"/>
      <w:lang w:eastAsia="en-US"/>
    </w:rPr>
  </w:style>
  <w:style w:type="paragraph" w:styleId="ListParagraph">
    <w:name w:val="List Paragraph"/>
    <w:basedOn w:val="Normal"/>
    <w:uiPriority w:val="34"/>
    <w:qFormat/>
    <w:rsid w:val="009D48BF"/>
    <w:pPr>
      <w:ind w:left="720"/>
      <w:contextualSpacing/>
    </w:pPr>
  </w:style>
  <w:style w:type="paragraph" w:styleId="BalloonText">
    <w:name w:val="Balloon Text"/>
    <w:basedOn w:val="Normal"/>
    <w:link w:val="BalloonTextChar"/>
    <w:uiPriority w:val="99"/>
    <w:semiHidden/>
    <w:unhideWhenUsed/>
    <w:rsid w:val="00210365"/>
    <w:rPr>
      <w:rFonts w:ascii="Tahoma" w:hAnsi="Tahoma" w:cs="Tahoma"/>
      <w:sz w:val="16"/>
      <w:szCs w:val="16"/>
    </w:rPr>
  </w:style>
  <w:style w:type="character" w:customStyle="1" w:styleId="BalloonTextChar">
    <w:name w:val="Balloon Text Char"/>
    <w:basedOn w:val="DefaultParagraphFont"/>
    <w:link w:val="BalloonText"/>
    <w:uiPriority w:val="99"/>
    <w:semiHidden/>
    <w:rsid w:val="00210365"/>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882E5A"/>
    <w:rPr>
      <w:sz w:val="20"/>
      <w:szCs w:val="20"/>
    </w:rPr>
  </w:style>
  <w:style w:type="character" w:customStyle="1" w:styleId="FootnoteTextChar">
    <w:name w:val="Footnote Text Char"/>
    <w:basedOn w:val="DefaultParagraphFont"/>
    <w:link w:val="FootnoteText"/>
    <w:uiPriority w:val="99"/>
    <w:semiHidden/>
    <w:rsid w:val="00882E5A"/>
    <w:rPr>
      <w:rFonts w:ascii="Arial" w:eastAsia="Times New Roman" w:hAnsi="Arial" w:cs="Arial"/>
      <w:lang w:eastAsia="en-US"/>
    </w:rPr>
  </w:style>
  <w:style w:type="character" w:styleId="FootnoteReference">
    <w:name w:val="footnote reference"/>
    <w:basedOn w:val="DefaultParagraphFont"/>
    <w:uiPriority w:val="99"/>
    <w:semiHidden/>
    <w:unhideWhenUsed/>
    <w:rsid w:val="00882E5A"/>
    <w:rPr>
      <w:vertAlign w:val="superscript"/>
    </w:rPr>
  </w:style>
  <w:style w:type="paragraph" w:styleId="NoSpacing">
    <w:name w:val="No Spacing"/>
    <w:uiPriority w:val="1"/>
    <w:qFormat/>
    <w:rsid w:val="00D651F0"/>
    <w:rPr>
      <w:rFonts w:ascii="Arial" w:eastAsia="Times New Roman" w:hAnsi="Arial" w:cs="Arial"/>
      <w:sz w:val="24"/>
      <w:szCs w:val="24"/>
      <w:lang w:eastAsia="en-US"/>
    </w:rPr>
  </w:style>
  <w:style w:type="paragraph" w:customStyle="1" w:styleId="Default">
    <w:name w:val="Default"/>
    <w:rsid w:val="00783A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0B28-BA27-4392-9A2C-BE745146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Phillips (Anti Fraud)</dc:creator>
  <cp:keywords/>
  <dc:description/>
  <cp:lastModifiedBy>Arun Birah</cp:lastModifiedBy>
  <cp:revision>3</cp:revision>
  <cp:lastPrinted>2019-03-18T17:24:00Z</cp:lastPrinted>
  <dcterms:created xsi:type="dcterms:W3CDTF">2023-05-11T15:00:00Z</dcterms:created>
  <dcterms:modified xsi:type="dcterms:W3CDTF">2023-05-11T15:05:00Z</dcterms:modified>
</cp:coreProperties>
</file>